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5B8" w:rsidRDefault="001B74C3">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w:t>
      </w:r>
      <w:r>
        <w:rPr>
          <w:rFonts w:cs="Arial" w:hint="eastAsia"/>
          <w:b/>
          <w:bCs/>
          <w:sz w:val="22"/>
          <w:szCs w:val="22"/>
          <w:lang w:val="en-US" w:eastAsia="zh-CN"/>
        </w:rPr>
        <w:t>2</w:t>
      </w:r>
      <w:r w:rsidR="001C5A25">
        <w:rPr>
          <w:rFonts w:cs="Arial"/>
          <w:b/>
          <w:bCs/>
          <w:sz w:val="22"/>
          <w:szCs w:val="22"/>
          <w:lang w:val="en-US" w:eastAsia="zh-CN"/>
        </w:rPr>
        <w:t>1</w:t>
      </w:r>
      <w:r>
        <w:rPr>
          <w:b/>
          <w:i/>
          <w:sz w:val="28"/>
        </w:rPr>
        <w:tab/>
      </w:r>
      <w:r>
        <w:rPr>
          <w:rFonts w:eastAsia="MS Mincho" w:cs="Arial"/>
          <w:b/>
          <w:sz w:val="22"/>
          <w:szCs w:val="22"/>
          <w:lang w:val="en-US"/>
        </w:rPr>
        <w:t>R</w:t>
      </w:r>
      <w:r w:rsidRPr="001C5A25">
        <w:rPr>
          <w:rFonts w:eastAsia="MS Mincho" w:cs="Arial"/>
          <w:b/>
          <w:sz w:val="22"/>
          <w:szCs w:val="22"/>
          <w:lang w:val="en-US"/>
        </w:rPr>
        <w:t>2-2</w:t>
      </w:r>
      <w:r w:rsidR="001C5A25" w:rsidRPr="001C5A25">
        <w:rPr>
          <w:rFonts w:eastAsia="MS Mincho" w:cs="Arial"/>
          <w:b/>
          <w:sz w:val="22"/>
          <w:szCs w:val="22"/>
          <w:lang w:val="en-US"/>
        </w:rPr>
        <w:t>3</w:t>
      </w:r>
      <w:r w:rsidR="001C5A25" w:rsidRPr="001C5A25">
        <w:rPr>
          <w:rFonts w:eastAsia="MS Mincho" w:cs="Arial"/>
          <w:b/>
          <w:sz w:val="22"/>
          <w:szCs w:val="22"/>
          <w:lang w:val="en-US"/>
        </w:rPr>
        <w:t>00901</w:t>
      </w:r>
    </w:p>
    <w:p w:rsidR="001C5A25" w:rsidRDefault="001C5A25" w:rsidP="001C5A25">
      <w:pPr>
        <w:pStyle w:val="CRCoverPage"/>
        <w:tabs>
          <w:tab w:val="right" w:pos="9639"/>
        </w:tabs>
        <w:spacing w:after="0"/>
        <w:rPr>
          <w:b/>
          <w:sz w:val="22"/>
          <w:szCs w:val="22"/>
          <w:lang w:eastAsia="zh-CN"/>
        </w:rPr>
      </w:pPr>
      <w:r>
        <w:rPr>
          <w:b/>
          <w:sz w:val="22"/>
          <w:szCs w:val="22"/>
          <w:lang w:eastAsia="zh-CN"/>
        </w:rPr>
        <w:t>Athens, Greece, 27</w:t>
      </w:r>
      <w:r>
        <w:rPr>
          <w:b/>
          <w:sz w:val="22"/>
          <w:szCs w:val="22"/>
          <w:vertAlign w:val="superscript"/>
          <w:lang w:eastAsia="zh-CN"/>
        </w:rPr>
        <w:t>th</w:t>
      </w:r>
      <w:r>
        <w:rPr>
          <w:b/>
          <w:sz w:val="22"/>
          <w:szCs w:val="22"/>
          <w:lang w:eastAsia="zh-CN"/>
        </w:rPr>
        <w:t xml:space="preserve"> Feb – 3</w:t>
      </w:r>
      <w:r>
        <w:rPr>
          <w:b/>
          <w:sz w:val="22"/>
          <w:szCs w:val="22"/>
          <w:vertAlign w:val="superscript"/>
          <w:lang w:eastAsia="zh-CN"/>
        </w:rPr>
        <w:t>rd</w:t>
      </w:r>
      <w:r>
        <w:rPr>
          <w:b/>
          <w:sz w:val="22"/>
          <w:szCs w:val="22"/>
          <w:lang w:eastAsia="zh-CN"/>
        </w:rPr>
        <w:t xml:space="preserve"> Mar, 2023</w:t>
      </w:r>
    </w:p>
    <w:p w:rsidR="00EF65B8" w:rsidRDefault="00EF65B8">
      <w:pPr>
        <w:pStyle w:val="Header"/>
        <w:rPr>
          <w:rFonts w:eastAsia="宋体" w:cs="Arial"/>
          <w:bCs/>
          <w:sz w:val="22"/>
          <w:szCs w:val="22"/>
          <w:lang w:val="en-GB" w:eastAsia="zh-CN"/>
        </w:rPr>
      </w:pPr>
    </w:p>
    <w:p w:rsidR="00EF65B8" w:rsidRDefault="001B74C3">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8.1</w:t>
      </w:r>
      <w:r>
        <w:rPr>
          <w:rFonts w:eastAsia="宋体" w:cs="Arial" w:hint="eastAsia"/>
          <w:sz w:val="22"/>
          <w:szCs w:val="22"/>
          <w:lang w:eastAsia="zh-CN"/>
        </w:rPr>
        <w:t>2.2</w:t>
      </w:r>
    </w:p>
    <w:p w:rsidR="00EF65B8" w:rsidRDefault="001B74C3">
      <w:pPr>
        <w:pStyle w:val="Header"/>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rsidR="00EF65B8" w:rsidRDefault="001B74C3">
      <w:pPr>
        <w:pStyle w:val="Header"/>
        <w:tabs>
          <w:tab w:val="clear" w:pos="4536"/>
          <w:tab w:val="left" w:pos="1800"/>
        </w:tabs>
        <w:spacing w:after="120"/>
        <w:ind w:left="1797" w:hanging="1797"/>
        <w:rPr>
          <w:rFonts w:eastAsia="宋体" w:cs="Arial"/>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001C5A25" w:rsidRPr="001C5A25">
        <w:rPr>
          <w:rFonts w:eastAsia="宋体" w:cs="Arial"/>
          <w:sz w:val="22"/>
          <w:szCs w:val="22"/>
          <w:lang w:eastAsia="zh-CN"/>
        </w:rPr>
        <w:t xml:space="preserve">Discussion on </w:t>
      </w:r>
      <w:proofErr w:type="spellStart"/>
      <w:r w:rsidR="001C5A25" w:rsidRPr="001C5A25">
        <w:rPr>
          <w:rFonts w:eastAsia="宋体" w:cs="Arial"/>
          <w:sz w:val="22"/>
          <w:szCs w:val="22"/>
          <w:lang w:eastAsia="zh-CN"/>
        </w:rPr>
        <w:t>mIAB</w:t>
      </w:r>
      <w:proofErr w:type="spellEnd"/>
      <w:r w:rsidR="001C5A25" w:rsidRPr="001C5A25">
        <w:rPr>
          <w:rFonts w:eastAsia="宋体" w:cs="Arial"/>
          <w:sz w:val="22"/>
          <w:szCs w:val="22"/>
          <w:lang w:eastAsia="zh-CN"/>
        </w:rPr>
        <w:t xml:space="preserve"> mobility </w:t>
      </w:r>
      <w:proofErr w:type="spellStart"/>
      <w:r w:rsidR="001C5A25" w:rsidRPr="001C5A25">
        <w:rPr>
          <w:rFonts w:eastAsia="宋体" w:cs="Arial"/>
          <w:sz w:val="22"/>
          <w:szCs w:val="22"/>
          <w:lang w:eastAsia="zh-CN"/>
        </w:rPr>
        <w:t>Enhacement</w:t>
      </w:r>
      <w:proofErr w:type="spellEnd"/>
    </w:p>
    <w:p w:rsidR="00EF65B8" w:rsidRDefault="001B74C3">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rsidR="00EF65B8" w:rsidRDefault="001B74C3">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4"/>
      <w:bookmarkStart w:id="1" w:name="OLE_LINK13"/>
      <w:r>
        <w:rPr>
          <w:rFonts w:eastAsia="MS Mincho" w:cs="Times New Roman" w:hint="eastAsia"/>
          <w:b w:val="0"/>
          <w:bCs w:val="0"/>
          <w:kern w:val="0"/>
          <w:sz w:val="36"/>
          <w:szCs w:val="20"/>
          <w:lang w:val="en-GB" w:eastAsia="ja-JP"/>
        </w:rPr>
        <w:t>Introduction</w:t>
      </w:r>
    </w:p>
    <w:p w:rsidR="001C5A25" w:rsidRDefault="001C5A25" w:rsidP="001C5A25">
      <w:pPr>
        <w:rPr>
          <w:lang w:eastAsia="zh-CN"/>
        </w:rPr>
      </w:pPr>
      <w:bookmarkStart w:id="2" w:name="_Hlk53665621"/>
      <w:r>
        <w:t xml:space="preserve">At </w:t>
      </w:r>
      <w:r>
        <w:t>RAN2#1</w:t>
      </w:r>
      <w:r>
        <w:t xml:space="preserve">20 meeting, </w:t>
      </w:r>
      <w:r>
        <w:t>RAN2 achieved the following agreements:</w:t>
      </w:r>
    </w:p>
    <w:p w:rsidR="001C5A25" w:rsidRDefault="001C5A25" w:rsidP="001C5A2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C5A25" w:rsidTr="001C5A25">
        <w:tc>
          <w:tcPr>
            <w:tcW w:w="9857" w:type="dxa"/>
            <w:tcBorders>
              <w:top w:val="single" w:sz="4" w:space="0" w:color="auto"/>
              <w:left w:val="single" w:sz="4" w:space="0" w:color="auto"/>
              <w:bottom w:val="single" w:sz="4" w:space="0" w:color="auto"/>
              <w:right w:val="single" w:sz="4" w:space="0" w:color="auto"/>
            </w:tcBorders>
            <w:hideMark/>
          </w:tcPr>
          <w:p w:rsidR="001C5A25" w:rsidRDefault="001C5A25" w:rsidP="001C5A25">
            <w:pPr>
              <w:pStyle w:val="Agreement"/>
              <w:numPr>
                <w:ilvl w:val="0"/>
                <w:numId w:val="21"/>
              </w:numPr>
              <w:tabs>
                <w:tab w:val="clear" w:pos="360"/>
              </w:tabs>
              <w:ind w:left="792"/>
              <w:rPr>
                <w:szCs w:val="20"/>
              </w:rPr>
            </w:pPr>
            <w:r>
              <w:rPr>
                <w:szCs w:val="20"/>
              </w:rPr>
              <w:t xml:space="preserve">R2 assumes that It is up to RAN3 or SA2 to decide whether to support early mobile IAB indication in Msg5 because it depends whether donor CU needs to select an AMF supporting mobile IAB. </w:t>
            </w:r>
          </w:p>
          <w:p w:rsidR="001C5A25" w:rsidRDefault="001C5A25" w:rsidP="001C5A25">
            <w:pPr>
              <w:pStyle w:val="Agreement"/>
              <w:numPr>
                <w:ilvl w:val="0"/>
                <w:numId w:val="21"/>
              </w:numPr>
              <w:tabs>
                <w:tab w:val="clear" w:pos="360"/>
              </w:tabs>
              <w:ind w:left="792"/>
              <w:rPr>
                <w:szCs w:val="20"/>
              </w:rPr>
            </w:pPr>
            <w:r>
              <w:rPr>
                <w:szCs w:val="20"/>
              </w:rPr>
              <w:t xml:space="preserve">R2 assumes that Donor CU can determine mobile IAB node's moving status via legacy reporting (e.g. mobility state and UE location / velocity specified in SON/MDT), i.e. R2 assumes enhanced / new reporting is not needed. </w:t>
            </w:r>
          </w:p>
          <w:p w:rsidR="001C5A25" w:rsidRDefault="001C5A25" w:rsidP="001C5A25">
            <w:pPr>
              <w:pStyle w:val="Agreement"/>
              <w:numPr>
                <w:ilvl w:val="0"/>
                <w:numId w:val="21"/>
              </w:numPr>
              <w:tabs>
                <w:tab w:val="clear" w:pos="360"/>
              </w:tabs>
              <w:ind w:left="792"/>
              <w:rPr>
                <w:szCs w:val="20"/>
              </w:rPr>
            </w:pPr>
            <w:r>
              <w:rPr>
                <w:szCs w:val="20"/>
              </w:rPr>
              <w:t xml:space="preserve">A mobile IAB node may camp on and connect to legacy Rel-16/Rel-17 IAB capable cell. </w:t>
            </w:r>
          </w:p>
          <w:p w:rsidR="001C5A25" w:rsidRDefault="001C5A25" w:rsidP="001C5A25">
            <w:pPr>
              <w:pStyle w:val="Agreement"/>
              <w:numPr>
                <w:ilvl w:val="0"/>
                <w:numId w:val="21"/>
              </w:numPr>
              <w:tabs>
                <w:tab w:val="clear" w:pos="360"/>
              </w:tabs>
              <w:ind w:left="792"/>
              <w:rPr>
                <w:szCs w:val="20"/>
              </w:rPr>
            </w:pPr>
            <w:r>
              <w:rPr>
                <w:szCs w:val="20"/>
              </w:rPr>
              <w:t>R2 assumes "supporting mobile-IAB" indication is provided by Rel-18 Mobile IAB capable parent cell.</w:t>
            </w:r>
          </w:p>
          <w:p w:rsidR="001C5A25" w:rsidRDefault="001C5A25" w:rsidP="001C5A25">
            <w:pPr>
              <w:pStyle w:val="Agreement"/>
              <w:numPr>
                <w:ilvl w:val="0"/>
                <w:numId w:val="21"/>
              </w:numPr>
              <w:tabs>
                <w:tab w:val="clear" w:pos="360"/>
              </w:tabs>
              <w:ind w:left="792"/>
              <w:rPr>
                <w:szCs w:val="20"/>
              </w:rPr>
            </w:pPr>
            <w:r>
              <w:rPr>
                <w:szCs w:val="20"/>
              </w:rPr>
              <w:t xml:space="preserve">Regarding the assumed mobile-IAB cell type indication, RAN2 assumes is may be specified if some related UE behaviour is specified.  </w:t>
            </w:r>
          </w:p>
        </w:tc>
      </w:tr>
    </w:tbl>
    <w:p w:rsidR="00EF65B8" w:rsidRDefault="00EF65B8"/>
    <w:p w:rsidR="00EF65B8" w:rsidRDefault="001B74C3">
      <w:pPr>
        <w:spacing w:beforeLines="50" w:before="120" w:after="120" w:line="260" w:lineRule="exact"/>
        <w:jc w:val="both"/>
        <w:rPr>
          <w:rFonts w:eastAsia="宋体"/>
          <w:lang w:eastAsia="zh-CN"/>
        </w:rPr>
      </w:pPr>
      <w:r>
        <w:t>In this contribution, we further discuss</w:t>
      </w:r>
      <w:r>
        <w:rPr>
          <w:rFonts w:eastAsia="宋体" w:hint="eastAsia"/>
          <w:lang w:eastAsia="zh-CN"/>
        </w:rPr>
        <w:t xml:space="preserve"> </w:t>
      </w:r>
      <w:r w:rsidR="001C5A25">
        <w:rPr>
          <w:rFonts w:eastAsia="宋体"/>
          <w:lang w:eastAsia="zh-CN"/>
        </w:rPr>
        <w:t xml:space="preserve">some </w:t>
      </w:r>
      <w:proofErr w:type="spellStart"/>
      <w:r w:rsidR="001C5A25">
        <w:rPr>
          <w:rFonts w:eastAsia="宋体"/>
          <w:lang w:eastAsia="zh-CN"/>
        </w:rPr>
        <w:t>mIAB</w:t>
      </w:r>
      <w:proofErr w:type="spellEnd"/>
      <w:r w:rsidR="001C5A25">
        <w:rPr>
          <w:rFonts w:eastAsia="宋体"/>
          <w:lang w:eastAsia="zh-CN"/>
        </w:rPr>
        <w:t xml:space="preserve"> mobility enhancement </w:t>
      </w:r>
      <w:r>
        <w:rPr>
          <w:rFonts w:eastAsia="宋体"/>
          <w:lang w:eastAsia="zh-CN"/>
        </w:rPr>
        <w:t>issues:</w:t>
      </w:r>
    </w:p>
    <w:bookmarkEnd w:id="2"/>
    <w:p w:rsidR="00EF65B8" w:rsidRDefault="001B74C3">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rsidR="00C0029D" w:rsidRPr="00C0029D" w:rsidRDefault="00C0029D" w:rsidP="00C0029D">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B</w:t>
      </w:r>
      <w:r w:rsidRPr="00C0029D">
        <w:rPr>
          <w:rFonts w:ascii="Arial" w:eastAsia="等线" w:hAnsi="Arial" w:cs="Arial"/>
          <w:iCs/>
          <w:sz w:val="32"/>
          <w:szCs w:val="32"/>
          <w:lang w:eastAsia="zh-CN"/>
        </w:rPr>
        <w:t xml:space="preserve">roadcasts indication of “supporting mobile-IAB” </w:t>
      </w:r>
    </w:p>
    <w:p w:rsidR="00C0029D" w:rsidRDefault="00C0029D" w:rsidP="00C0029D">
      <w:pPr>
        <w:rPr>
          <w:lang w:eastAsia="zh-CN"/>
        </w:rPr>
      </w:pPr>
      <w:r>
        <w:rPr>
          <w:lang w:eastAsia="zh-CN"/>
        </w:rPr>
        <w:t xml:space="preserve">Currently, the </w:t>
      </w:r>
      <w:proofErr w:type="spellStart"/>
      <w:r w:rsidRPr="00AC62EE">
        <w:rPr>
          <w:i/>
          <w:lang w:eastAsia="zh-CN"/>
        </w:rPr>
        <w:t>iab</w:t>
      </w:r>
      <w:proofErr w:type="spellEnd"/>
      <w:r w:rsidRPr="00AC62EE">
        <w:rPr>
          <w:i/>
          <w:lang w:eastAsia="zh-CN"/>
        </w:rPr>
        <w:t>-support</w:t>
      </w:r>
      <w:r>
        <w:rPr>
          <w:lang w:eastAsia="zh-CN"/>
        </w:rPr>
        <w:t xml:space="preserve"> indication is used to indicate whether a cell is IAB-capable cell. From our understanding Mobile IAB are </w:t>
      </w:r>
      <w:r w:rsidR="00C41CFF">
        <w:rPr>
          <w:lang w:eastAsia="zh-CN"/>
        </w:rPr>
        <w:t>b</w:t>
      </w:r>
      <w:r>
        <w:rPr>
          <w:lang w:eastAsia="zh-CN"/>
        </w:rPr>
        <w:t xml:space="preserve">asically </w:t>
      </w:r>
      <w:r w:rsidR="00C41CFF">
        <w:rPr>
          <w:lang w:eastAsia="zh-CN"/>
        </w:rPr>
        <w:t>I</w:t>
      </w:r>
      <w:r>
        <w:rPr>
          <w:lang w:eastAsia="zh-CN"/>
        </w:rPr>
        <w:t xml:space="preserve">AB as in R16/R17. the main different is that mobile IAB are nomadic in nature. From camping perspective, mobile IAB seems </w:t>
      </w:r>
      <w:r w:rsidR="00C41CFF">
        <w:rPr>
          <w:lang w:eastAsia="zh-CN"/>
        </w:rPr>
        <w:t>to</w:t>
      </w:r>
      <w:r>
        <w:rPr>
          <w:lang w:eastAsia="zh-CN"/>
        </w:rPr>
        <w:t xml:space="preserve"> present anything different from static IAB. Thus</w:t>
      </w:r>
      <w:r w:rsidR="00F4521E">
        <w:rPr>
          <w:lang w:eastAsia="zh-CN"/>
        </w:rPr>
        <w:t>,</w:t>
      </w:r>
      <w:r>
        <w:rPr>
          <w:lang w:eastAsia="zh-CN"/>
        </w:rPr>
        <w:t xml:space="preserve"> the </w:t>
      </w:r>
      <w:r w:rsidR="00C41CFF">
        <w:rPr>
          <w:lang w:eastAsia="zh-CN"/>
        </w:rPr>
        <w:t xml:space="preserve">current </w:t>
      </w:r>
      <w:proofErr w:type="spellStart"/>
      <w:r w:rsidRPr="00C41CFF">
        <w:rPr>
          <w:i/>
          <w:lang w:eastAsia="zh-CN"/>
        </w:rPr>
        <w:t>iab</w:t>
      </w:r>
      <w:proofErr w:type="spellEnd"/>
      <w:r w:rsidRPr="00C41CFF">
        <w:rPr>
          <w:i/>
          <w:lang w:eastAsia="zh-CN"/>
        </w:rPr>
        <w:t>-support</w:t>
      </w:r>
      <w:r>
        <w:rPr>
          <w:lang w:eastAsia="zh-CN"/>
        </w:rPr>
        <w:t xml:space="preserve"> is sufficient to allow a mobile IAB to camp on a cell or not. </w:t>
      </w:r>
    </w:p>
    <w:p w:rsidR="00C0029D" w:rsidRPr="00F4521E" w:rsidRDefault="00C0029D" w:rsidP="00F4521E">
      <w:pPr>
        <w:pStyle w:val="Proposal"/>
        <w:numPr>
          <w:ilvl w:val="0"/>
          <w:numId w:val="9"/>
        </w:numPr>
        <w:tabs>
          <w:tab w:val="clear" w:pos="1304"/>
        </w:tabs>
        <w:ind w:left="1701" w:hanging="1701"/>
        <w:rPr>
          <w:rFonts w:ascii="Times New Roman" w:eastAsia="宋体" w:hAnsi="Times New Roman"/>
        </w:rPr>
      </w:pPr>
      <w:r w:rsidRPr="00F4521E">
        <w:rPr>
          <w:rFonts w:ascii="Times New Roman" w:eastAsia="宋体" w:hAnsi="Times New Roman"/>
        </w:rPr>
        <w:t xml:space="preserve">No need to Introduce that stationary network broadcasts indication of supporting mobile-IAB camping. The </w:t>
      </w:r>
      <w:proofErr w:type="spellStart"/>
      <w:r w:rsidRPr="00AC62EE">
        <w:rPr>
          <w:rFonts w:ascii="Times New Roman" w:eastAsia="宋体" w:hAnsi="Times New Roman"/>
          <w:i/>
        </w:rPr>
        <w:t>iab</w:t>
      </w:r>
      <w:proofErr w:type="spellEnd"/>
      <w:r w:rsidRPr="00AC62EE">
        <w:rPr>
          <w:rFonts w:ascii="Times New Roman" w:eastAsia="宋体" w:hAnsi="Times New Roman"/>
          <w:i/>
        </w:rPr>
        <w:t>-support</w:t>
      </w:r>
      <w:r w:rsidRPr="00F4521E">
        <w:rPr>
          <w:rFonts w:ascii="Times New Roman" w:eastAsia="宋体" w:hAnsi="Times New Roman"/>
        </w:rPr>
        <w:t xml:space="preserve"> is sufficient to allow mobile IAB camping on an IAB-capable cell</w:t>
      </w:r>
      <w:bookmarkStart w:id="3" w:name="_GoBack"/>
      <w:bookmarkEnd w:id="3"/>
    </w:p>
    <w:p w:rsidR="006B22DA" w:rsidRDefault="00AC62EE" w:rsidP="00C0029D">
      <w:pPr>
        <w:rPr>
          <w:lang w:eastAsia="zh-CN"/>
        </w:rPr>
      </w:pPr>
      <w:r>
        <w:rPr>
          <w:lang w:eastAsia="zh-CN"/>
        </w:rPr>
        <w:t>Even</w:t>
      </w:r>
      <w:r w:rsidR="00C0029D">
        <w:rPr>
          <w:lang w:eastAsia="zh-CN"/>
        </w:rPr>
        <w:t xml:space="preserve">, if </w:t>
      </w:r>
      <w:r>
        <w:rPr>
          <w:lang w:eastAsia="zh-CN"/>
        </w:rPr>
        <w:t xml:space="preserve">a </w:t>
      </w:r>
      <w:r w:rsidR="00C0029D">
        <w:rPr>
          <w:lang w:eastAsia="zh-CN"/>
        </w:rPr>
        <w:t>cell</w:t>
      </w:r>
      <w:r>
        <w:rPr>
          <w:lang w:eastAsia="zh-CN"/>
        </w:rPr>
        <w:t xml:space="preserve"> A</w:t>
      </w:r>
      <w:r w:rsidR="00C0029D">
        <w:rPr>
          <w:lang w:eastAsia="zh-CN"/>
        </w:rPr>
        <w:t xml:space="preserve"> is static IAB only capable, a mobile IAB</w:t>
      </w:r>
      <w:r>
        <w:rPr>
          <w:lang w:eastAsia="zh-CN"/>
        </w:rPr>
        <w:t xml:space="preserve"> can still be able </w:t>
      </w:r>
      <w:r w:rsidR="00C0029D">
        <w:rPr>
          <w:lang w:eastAsia="zh-CN"/>
        </w:rPr>
        <w:t>to connect to such cell</w:t>
      </w:r>
      <w:r>
        <w:rPr>
          <w:lang w:eastAsia="zh-CN"/>
        </w:rPr>
        <w:t xml:space="preserve"> as normal IAB</w:t>
      </w:r>
      <w:r w:rsidR="00C0029D">
        <w:rPr>
          <w:lang w:eastAsia="zh-CN"/>
        </w:rPr>
        <w:t xml:space="preserve">. </w:t>
      </w:r>
      <w:r>
        <w:rPr>
          <w:lang w:eastAsia="zh-CN"/>
        </w:rPr>
        <w:t>If needed, the cell can still redirect to a neighboring mobile IAB capable cell or the mobile IAB perform reselection to neighboring mobile IAB capable cell</w:t>
      </w:r>
      <w:r w:rsidR="00C0029D">
        <w:rPr>
          <w:lang w:eastAsia="zh-CN"/>
        </w:rPr>
        <w:t>.</w:t>
      </w:r>
      <w:r w:rsidR="006B22DA">
        <w:rPr>
          <w:lang w:eastAsia="zh-CN"/>
        </w:rPr>
        <w:t xml:space="preserve"> </w:t>
      </w:r>
    </w:p>
    <w:p w:rsidR="00C0029D" w:rsidRDefault="006B22DA" w:rsidP="00C0029D">
      <w:pPr>
        <w:rPr>
          <w:lang w:eastAsia="zh-CN"/>
        </w:rPr>
      </w:pPr>
      <w:r>
        <w:rPr>
          <w:lang w:eastAsia="zh-CN"/>
        </w:rPr>
        <w:t>Therefore,</w:t>
      </w:r>
    </w:p>
    <w:p w:rsidR="006B22DA" w:rsidRPr="006D0AF4" w:rsidRDefault="006D0AF4" w:rsidP="006D0AF4">
      <w:pPr>
        <w:pStyle w:val="Proposal"/>
        <w:numPr>
          <w:ilvl w:val="0"/>
          <w:numId w:val="9"/>
        </w:numPr>
        <w:tabs>
          <w:tab w:val="clear" w:pos="1304"/>
        </w:tabs>
        <w:ind w:left="1701" w:hanging="1701"/>
        <w:rPr>
          <w:rFonts w:ascii="Times New Roman" w:eastAsia="宋体" w:hAnsi="Times New Roman"/>
        </w:rPr>
      </w:pPr>
      <w:r w:rsidRPr="006D0AF4">
        <w:rPr>
          <w:rFonts w:ascii="Times New Roman" w:eastAsia="宋体" w:hAnsi="Times New Roman"/>
        </w:rPr>
        <w:t xml:space="preserve">Rel-16/Rel-17 IAB procedure with additionally mobile IAB cell reselection or redirection is sufficient to guarantee mobile IAB connection to network, without </w:t>
      </w:r>
      <w:r w:rsidRPr="00F4521E">
        <w:rPr>
          <w:rFonts w:ascii="Times New Roman" w:eastAsia="宋体" w:hAnsi="Times New Roman"/>
        </w:rPr>
        <w:t>network broadcast</w:t>
      </w:r>
      <w:r w:rsidRPr="006D0AF4">
        <w:rPr>
          <w:rFonts w:ascii="Times New Roman" w:eastAsia="宋体" w:hAnsi="Times New Roman"/>
        </w:rPr>
        <w:t>ing</w:t>
      </w:r>
      <w:r w:rsidRPr="00F4521E">
        <w:rPr>
          <w:rFonts w:ascii="Times New Roman" w:eastAsia="宋体" w:hAnsi="Times New Roman"/>
        </w:rPr>
        <w:t xml:space="preserve"> indication of supporting mobile-IAB</w:t>
      </w:r>
    </w:p>
    <w:p w:rsidR="00B71E9F" w:rsidRPr="00547177" w:rsidRDefault="00A14621" w:rsidP="00547177">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Usage of </w:t>
      </w:r>
      <w:r w:rsidR="00547177">
        <w:rPr>
          <w:rFonts w:ascii="Arial" w:eastAsia="等线" w:hAnsi="Arial" w:cs="Arial"/>
          <w:iCs/>
          <w:sz w:val="32"/>
          <w:szCs w:val="32"/>
          <w:lang w:eastAsia="zh-CN"/>
        </w:rPr>
        <w:t>M</w:t>
      </w:r>
      <w:r w:rsidR="00547177" w:rsidRPr="00547177">
        <w:rPr>
          <w:rFonts w:ascii="Arial" w:eastAsia="等线" w:hAnsi="Arial" w:cs="Arial"/>
          <w:iCs/>
          <w:sz w:val="32"/>
          <w:szCs w:val="32"/>
          <w:lang w:eastAsia="zh-CN"/>
        </w:rPr>
        <w:t>obile-IAB cell type indication</w:t>
      </w:r>
    </w:p>
    <w:p w:rsidR="00547177" w:rsidRDefault="00547177" w:rsidP="00547177">
      <w:r>
        <w:rPr>
          <w:lang w:eastAsia="zh-CN"/>
        </w:rPr>
        <w:t xml:space="preserve">RAN 2 agreed that </w:t>
      </w:r>
      <w:r>
        <w:t>1 bit mobile-IAB cell type indication is introduced, to assist mobility in Idle/Inactive mode for Rel-18 UEs.</w:t>
      </w:r>
      <w:r w:rsidR="00A14621">
        <w:t xml:space="preserve"> As mobile IAB are also supposed to </w:t>
      </w:r>
      <w:r w:rsidR="0081603F">
        <w:t xml:space="preserve">serve legacy, by specifying the usage of such bit indication may </w:t>
      </w:r>
      <w:r w:rsidR="00D40FE4">
        <w:t>impact legacy accessing to mobile IAB. Thus,</w:t>
      </w:r>
    </w:p>
    <w:p w:rsidR="00D40FE4" w:rsidRDefault="00D40FE4" w:rsidP="00547177"/>
    <w:p w:rsidR="00D40FE4" w:rsidRPr="00D40FE4" w:rsidRDefault="00D40FE4" w:rsidP="00D40FE4">
      <w:pPr>
        <w:pStyle w:val="Observation"/>
        <w:numPr>
          <w:ilvl w:val="0"/>
          <w:numId w:val="8"/>
        </w:numPr>
        <w:tabs>
          <w:tab w:val="clear" w:pos="1701"/>
        </w:tabs>
        <w:spacing w:before="100" w:beforeAutospacing="1"/>
        <w:ind w:left="1701" w:hanging="1701"/>
        <w:rPr>
          <w:rFonts w:ascii="Times New Roman" w:hAnsi="Times New Roman"/>
        </w:rPr>
      </w:pPr>
      <w:r w:rsidRPr="00D40FE4">
        <w:rPr>
          <w:rFonts w:ascii="Times New Roman" w:hAnsi="Times New Roman"/>
        </w:rPr>
        <w:lastRenderedPageBreak/>
        <w:t>Specifying how the 1 bit mobile-IAB cell type indication is used by UE, may have negative impact on legacy UE accessing mobile IAB.</w:t>
      </w:r>
    </w:p>
    <w:p w:rsidR="00D40FE4" w:rsidRDefault="00D40FE4" w:rsidP="00547177">
      <w:r>
        <w:t>Therefore,</w:t>
      </w:r>
    </w:p>
    <w:p w:rsidR="00D40FE4" w:rsidRPr="00D40FE4" w:rsidRDefault="00D40FE4" w:rsidP="00D40FE4">
      <w:pPr>
        <w:pStyle w:val="Proposal"/>
        <w:numPr>
          <w:ilvl w:val="0"/>
          <w:numId w:val="9"/>
        </w:numPr>
        <w:tabs>
          <w:tab w:val="clear" w:pos="1304"/>
        </w:tabs>
        <w:ind w:left="1701" w:hanging="1701"/>
        <w:rPr>
          <w:rFonts w:ascii="Times New Roman" w:eastAsia="宋体" w:hAnsi="Times New Roman"/>
        </w:rPr>
      </w:pPr>
      <w:r w:rsidRPr="00D40FE4">
        <w:rPr>
          <w:rFonts w:ascii="Times New Roman" w:eastAsia="宋体" w:hAnsi="Times New Roman"/>
        </w:rPr>
        <w:t>The usage of the 1 bit mobile-IAB cell type indication by Rel-18 UE is left to implementation</w:t>
      </w:r>
    </w:p>
    <w:p w:rsidR="00D40FE4" w:rsidRDefault="00D40FE4" w:rsidP="00547177">
      <w:pPr>
        <w:rPr>
          <w:lang w:eastAsia="zh-CN"/>
        </w:rPr>
      </w:pPr>
    </w:p>
    <w:p w:rsidR="00A21765" w:rsidRPr="00A21765" w:rsidRDefault="00A21765" w:rsidP="00A21765">
      <w:pPr>
        <w:keepNext/>
        <w:widowControl w:val="0"/>
        <w:numPr>
          <w:ilvl w:val="1"/>
          <w:numId w:val="6"/>
        </w:numPr>
        <w:spacing w:before="180" w:after="180"/>
        <w:jc w:val="both"/>
        <w:outlineLvl w:val="1"/>
        <w:rPr>
          <w:rFonts w:ascii="Arial" w:eastAsia="等线" w:hAnsi="Arial" w:cs="Arial"/>
          <w:iCs/>
          <w:sz w:val="32"/>
          <w:szCs w:val="32"/>
          <w:lang w:eastAsia="zh-CN"/>
        </w:rPr>
      </w:pPr>
      <w:r w:rsidRPr="00A21765">
        <w:rPr>
          <w:rFonts w:ascii="Arial" w:eastAsia="等线" w:hAnsi="Arial" w:cs="Arial"/>
          <w:iCs/>
          <w:sz w:val="32"/>
          <w:szCs w:val="32"/>
          <w:lang w:eastAsia="zh-CN"/>
        </w:rPr>
        <w:t>Conditional handover execution</w:t>
      </w:r>
    </w:p>
    <w:p w:rsidR="00B71E9F" w:rsidRDefault="00CA5F06" w:rsidP="00112D13">
      <w:pPr>
        <w:rPr>
          <w:lang w:eastAsia="zh-CN"/>
        </w:rPr>
      </w:pPr>
      <w:r>
        <w:rPr>
          <w:lang w:eastAsia="zh-CN"/>
        </w:rPr>
        <w:t>For conditional handover execution of group HO, at last meeting the following options were discussed:</w:t>
      </w:r>
    </w:p>
    <w:p w:rsidR="00A21765" w:rsidRDefault="00A21765" w:rsidP="00A21765">
      <w:pPr>
        <w:ind w:left="864" w:hanging="864"/>
        <w:rPr>
          <w:lang w:eastAsia="zh-CN"/>
        </w:rPr>
      </w:pPr>
      <w:r>
        <w:rPr>
          <w:b/>
          <w:bCs/>
        </w:rPr>
        <w:t>Option 1:</w:t>
      </w:r>
      <w:r>
        <w:t xml:space="preserve"> The RRC Reconfiguration messages are sent to the logical source IAB-DU, where they are withheld until a condition has been met, e.g., the IAB-MT has received its own handover command.  </w:t>
      </w:r>
    </w:p>
    <w:p w:rsidR="00A21765" w:rsidRDefault="00A21765" w:rsidP="00A21765">
      <w:pPr>
        <w:ind w:left="864" w:hanging="864"/>
      </w:pPr>
      <w:r>
        <w:rPr>
          <w:b/>
          <w:bCs/>
        </w:rPr>
        <w:t>Option 2:</w:t>
      </w:r>
      <w:r>
        <w:t xml:space="preserve"> The RRC Reconfiguration messages are sent to the UEs, where they are withheld until a condition has been met, which may be based on a broadcast by the logical source IAB-DU. </w:t>
      </w:r>
    </w:p>
    <w:p w:rsidR="00A21765" w:rsidRDefault="00A21765" w:rsidP="00A21765">
      <w:pPr>
        <w:ind w:left="864" w:hanging="864"/>
      </w:pPr>
      <w:r>
        <w:rPr>
          <w:b/>
          <w:bCs/>
        </w:rPr>
        <w:t>Option 3:</w:t>
      </w:r>
      <w:r>
        <w:t xml:space="preserve"> Legacy CHO is configured on the UEs and the handover is triggered by powering down the source logical IAB-DU cell. </w:t>
      </w:r>
    </w:p>
    <w:p w:rsidR="004542E1" w:rsidRDefault="004542E1" w:rsidP="004542E1">
      <w:pPr>
        <w:rPr>
          <w:lang w:eastAsia="zh-CN"/>
        </w:rPr>
      </w:pPr>
      <w:r>
        <w:rPr>
          <w:lang w:eastAsia="zh-CN"/>
        </w:rPr>
        <w:t xml:space="preserve">RAN2 has assumed that </w:t>
      </w:r>
      <w:r w:rsidRPr="004542E1">
        <w:rPr>
          <w:b/>
          <w:lang w:eastAsia="zh-CN"/>
        </w:rPr>
        <w:t>Option 1</w:t>
      </w:r>
      <w:r>
        <w:rPr>
          <w:lang w:eastAsia="zh-CN"/>
        </w:rPr>
        <w:t xml:space="preserve"> and </w:t>
      </w:r>
      <w:r w:rsidRPr="004542E1">
        <w:rPr>
          <w:b/>
          <w:lang w:eastAsia="zh-CN"/>
        </w:rPr>
        <w:t>Option 3</w:t>
      </w:r>
      <w:r w:rsidRPr="004542E1">
        <w:rPr>
          <w:lang w:eastAsia="zh-CN"/>
        </w:rPr>
        <w:t xml:space="preserve"> could work, but no clear assumption for </w:t>
      </w:r>
      <w:r w:rsidRPr="00CA388A">
        <w:rPr>
          <w:b/>
          <w:lang w:eastAsia="zh-CN"/>
        </w:rPr>
        <w:t>Option 2</w:t>
      </w:r>
      <w:r w:rsidRPr="004542E1">
        <w:rPr>
          <w:lang w:eastAsia="zh-CN"/>
        </w:rPr>
        <w:t>.</w:t>
      </w:r>
      <w:r>
        <w:rPr>
          <w:highlight w:val="yellow"/>
        </w:rPr>
        <w:t xml:space="preserve"> </w:t>
      </w:r>
    </w:p>
    <w:p w:rsidR="00B71E9F" w:rsidRDefault="00CA388A" w:rsidP="00112D13">
      <w:pPr>
        <w:rPr>
          <w:lang w:eastAsia="zh-CN"/>
        </w:rPr>
      </w:pPr>
      <w:r w:rsidRPr="00CA388A">
        <w:rPr>
          <w:lang w:eastAsia="zh-CN"/>
        </w:rPr>
        <w:t xml:space="preserve">From </w:t>
      </w:r>
      <w:r w:rsidRPr="00CA388A">
        <w:rPr>
          <w:b/>
          <w:lang w:eastAsia="zh-CN"/>
        </w:rPr>
        <w:t>Option 2</w:t>
      </w:r>
      <w:r>
        <w:rPr>
          <w:b/>
          <w:lang w:eastAsia="zh-CN"/>
        </w:rPr>
        <w:t xml:space="preserve"> </w:t>
      </w:r>
      <w:r w:rsidRPr="00CA388A">
        <w:rPr>
          <w:lang w:eastAsia="zh-CN"/>
        </w:rPr>
        <w:t xml:space="preserve">description, </w:t>
      </w:r>
      <w:r>
        <w:rPr>
          <w:lang w:eastAsia="zh-CN"/>
        </w:rPr>
        <w:t xml:space="preserve">it may require </w:t>
      </w:r>
      <w:r w:rsidR="00F615BC">
        <w:rPr>
          <w:lang w:eastAsia="zh-CN"/>
        </w:rPr>
        <w:t>source IAB-DU to broadcast some additional indication to UE in other to properly execute HO.</w:t>
      </w:r>
      <w:r w:rsidR="00715427">
        <w:rPr>
          <w:lang w:eastAsia="zh-CN"/>
        </w:rPr>
        <w:t xml:space="preserve"> This new information broadcast can be used by Rel-18 UEs to execute the HO when the necessary conditions are fulfilled. But, as legacy UEs does not recognize such new indication, Option 2 may not work for legacy UEs.</w:t>
      </w:r>
    </w:p>
    <w:p w:rsidR="00715427" w:rsidRPr="003B2A24" w:rsidRDefault="00715427" w:rsidP="003B2A24">
      <w:pPr>
        <w:pStyle w:val="Observation"/>
        <w:numPr>
          <w:ilvl w:val="0"/>
          <w:numId w:val="8"/>
        </w:numPr>
        <w:tabs>
          <w:tab w:val="clear" w:pos="1701"/>
        </w:tabs>
        <w:spacing w:before="100" w:beforeAutospacing="1"/>
        <w:ind w:left="1701" w:hanging="1701"/>
        <w:rPr>
          <w:rFonts w:ascii="Times New Roman" w:hAnsi="Times New Roman"/>
        </w:rPr>
      </w:pPr>
      <w:r w:rsidRPr="003B2A24">
        <w:rPr>
          <w:rFonts w:ascii="Times New Roman" w:hAnsi="Times New Roman"/>
        </w:rPr>
        <w:t>Option 2 may not be applicable to legacy UEs as it requires IAB-DU to broadcast some additional indication.</w:t>
      </w:r>
    </w:p>
    <w:p w:rsidR="00715427" w:rsidRDefault="00715427" w:rsidP="00112D13">
      <w:pPr>
        <w:rPr>
          <w:lang w:eastAsia="zh-CN"/>
        </w:rPr>
      </w:pPr>
      <w:r>
        <w:rPr>
          <w:lang w:eastAsia="zh-CN"/>
        </w:rPr>
        <w:t>Therefore,</w:t>
      </w:r>
    </w:p>
    <w:p w:rsidR="00715427" w:rsidRDefault="003B2A24" w:rsidP="003B2A24">
      <w:pPr>
        <w:pStyle w:val="Proposal"/>
        <w:numPr>
          <w:ilvl w:val="0"/>
          <w:numId w:val="9"/>
        </w:numPr>
        <w:tabs>
          <w:tab w:val="clear" w:pos="1304"/>
        </w:tabs>
        <w:ind w:left="1701" w:hanging="1701"/>
        <w:rPr>
          <w:rFonts w:ascii="Times New Roman" w:eastAsia="宋体" w:hAnsi="Times New Roman"/>
        </w:rPr>
      </w:pPr>
      <w:r w:rsidRPr="003B2A24">
        <w:rPr>
          <w:rFonts w:ascii="Times New Roman" w:eastAsia="宋体" w:hAnsi="Times New Roman"/>
        </w:rPr>
        <w:t xml:space="preserve">Solution Option 2, i.e., “The RRC Reconfiguration messages are sent to the UEs, where they are withheld until a condition has been met, which may be based on a broadcast by the logical source IAB-DU.” is deprioritized </w:t>
      </w:r>
      <w:r>
        <w:rPr>
          <w:rFonts w:ascii="Times New Roman" w:eastAsia="宋体" w:hAnsi="Times New Roman"/>
        </w:rPr>
        <w:t>as it may not work for legacy UEs.</w:t>
      </w:r>
    </w:p>
    <w:p w:rsidR="00BC257A" w:rsidRDefault="00BC257A" w:rsidP="00BC257A">
      <w:pPr>
        <w:rPr>
          <w:lang w:eastAsia="zh-CN"/>
        </w:rPr>
      </w:pPr>
      <w:r>
        <w:rPr>
          <w:lang w:eastAsia="zh-CN"/>
        </w:rPr>
        <w:t xml:space="preserve">Based on RAN2#120, it can </w:t>
      </w:r>
      <w:r w:rsidR="00FA7BFA">
        <w:rPr>
          <w:lang w:eastAsia="zh-CN"/>
        </w:rPr>
        <w:t xml:space="preserve">be </w:t>
      </w:r>
      <w:r>
        <w:rPr>
          <w:lang w:eastAsia="zh-CN"/>
        </w:rPr>
        <w:t xml:space="preserve">observed that </w:t>
      </w:r>
      <w:r w:rsidR="00FA7BFA" w:rsidRPr="00DD415C">
        <w:rPr>
          <w:b/>
        </w:rPr>
        <w:t>Options 1</w:t>
      </w:r>
      <w:r w:rsidR="00FA7BFA">
        <w:t xml:space="preserve"> and </w:t>
      </w:r>
      <w:r w:rsidR="00FA7BFA" w:rsidRPr="00DD415C">
        <w:rPr>
          <w:b/>
        </w:rPr>
        <w:t xml:space="preserve">Option </w:t>
      </w:r>
      <w:r w:rsidR="00FA7BFA" w:rsidRPr="00DD415C">
        <w:rPr>
          <w:b/>
        </w:rPr>
        <w:t>3</w:t>
      </w:r>
      <w:r w:rsidR="00FA7BFA">
        <w:t xml:space="preserve"> (as they are Rel17 and earlier with no change) </w:t>
      </w:r>
      <w:r w:rsidR="00FA7BFA">
        <w:t xml:space="preserve">seem more preferable. Additionally, as </w:t>
      </w:r>
      <w:r>
        <w:rPr>
          <w:lang w:eastAsia="zh-CN"/>
        </w:rPr>
        <w:t xml:space="preserve">Option 1 can support legacy UEs without further optimization, </w:t>
      </w:r>
      <w:r w:rsidR="00FA7BFA">
        <w:rPr>
          <w:lang w:eastAsia="zh-CN"/>
        </w:rPr>
        <w:t>it can be considered as baseline</w:t>
      </w:r>
      <w:r>
        <w:rPr>
          <w:lang w:eastAsia="zh-CN"/>
        </w:rPr>
        <w:t>.</w:t>
      </w:r>
    </w:p>
    <w:p w:rsidR="00BC257A" w:rsidRPr="00FA7BFA" w:rsidRDefault="00FA7BFA" w:rsidP="00FA7BFA">
      <w:pPr>
        <w:rPr>
          <w:lang w:eastAsia="zh-CN"/>
        </w:rPr>
      </w:pPr>
      <w:r w:rsidRPr="00FA7BFA">
        <w:rPr>
          <w:lang w:eastAsia="zh-CN"/>
        </w:rPr>
        <w:t>Therefore,</w:t>
      </w:r>
    </w:p>
    <w:p w:rsidR="008F485F" w:rsidRPr="003B2A24" w:rsidRDefault="008F485F" w:rsidP="008F485F">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For simplicity </w:t>
      </w:r>
      <w:r w:rsidRPr="003B2A24">
        <w:rPr>
          <w:rFonts w:ascii="Times New Roman" w:eastAsia="宋体" w:hAnsi="Times New Roman"/>
        </w:rPr>
        <w:t xml:space="preserve">Solution Option </w:t>
      </w:r>
      <w:r>
        <w:rPr>
          <w:rFonts w:ascii="Times New Roman" w:eastAsia="宋体" w:hAnsi="Times New Roman"/>
        </w:rPr>
        <w:t>1 is considered as baseline.</w:t>
      </w:r>
    </w:p>
    <w:p w:rsidR="00EF65B8" w:rsidRDefault="00EF65B8">
      <w:pPr>
        <w:spacing w:before="120" w:after="120" w:line="260" w:lineRule="auto"/>
        <w:rPr>
          <w:rFonts w:eastAsia="等线"/>
        </w:rPr>
      </w:pPr>
    </w:p>
    <w:p w:rsidR="00EF65B8" w:rsidRDefault="001B74C3">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rsidR="00EF65B8" w:rsidRDefault="001B74C3">
      <w:pPr>
        <w:pStyle w:val="BodyText"/>
        <w:rPr>
          <w:rFonts w:eastAsia="宋体"/>
          <w:b/>
          <w:lang w:val="en-GB" w:eastAsia="zh-CN"/>
        </w:rPr>
      </w:pPr>
      <w:r>
        <w:rPr>
          <w:rFonts w:eastAsia="宋体"/>
          <w:lang w:val="en-GB" w:eastAsia="zh-CN"/>
        </w:rPr>
        <w:t>In this paper, the following observations and proposal are given:</w:t>
      </w:r>
    </w:p>
    <w:p w:rsidR="00700095" w:rsidRPr="00D40FE4" w:rsidRDefault="00700095" w:rsidP="00700095">
      <w:pPr>
        <w:pStyle w:val="Observation"/>
        <w:numPr>
          <w:ilvl w:val="0"/>
          <w:numId w:val="11"/>
        </w:numPr>
        <w:tabs>
          <w:tab w:val="clear" w:pos="1701"/>
        </w:tabs>
        <w:spacing w:before="120" w:beforeAutospacing="1" w:line="260" w:lineRule="auto"/>
        <w:ind w:left="1701" w:hanging="1701"/>
        <w:rPr>
          <w:rFonts w:ascii="Times New Roman" w:hAnsi="Times New Roman"/>
        </w:rPr>
      </w:pPr>
      <w:r w:rsidRPr="00D40FE4">
        <w:rPr>
          <w:rFonts w:ascii="Times New Roman" w:hAnsi="Times New Roman"/>
        </w:rPr>
        <w:t>Specifying how the 1 bit mobile-IAB cell type indication is used by UE, may have negative impact on legacy UE accessing mobile IAB.</w:t>
      </w:r>
    </w:p>
    <w:p w:rsidR="00700095" w:rsidRPr="003B2A24" w:rsidRDefault="00700095" w:rsidP="00700095">
      <w:pPr>
        <w:pStyle w:val="Observation"/>
        <w:numPr>
          <w:ilvl w:val="0"/>
          <w:numId w:val="11"/>
        </w:numPr>
        <w:tabs>
          <w:tab w:val="clear" w:pos="1701"/>
        </w:tabs>
        <w:spacing w:before="120" w:beforeAutospacing="1" w:line="260" w:lineRule="auto"/>
        <w:ind w:left="1701" w:hanging="1701"/>
        <w:rPr>
          <w:rFonts w:ascii="Times New Roman" w:hAnsi="Times New Roman"/>
        </w:rPr>
      </w:pPr>
      <w:r w:rsidRPr="003B2A24">
        <w:rPr>
          <w:rFonts w:ascii="Times New Roman" w:hAnsi="Times New Roman"/>
        </w:rPr>
        <w:t>Option 2 may not be applicable to legacy UEs as it requires IAB-DU to broadcast some additional indication.</w:t>
      </w:r>
    </w:p>
    <w:p w:rsidR="00EF65B8" w:rsidRDefault="001B74C3">
      <w:pPr>
        <w:pStyle w:val="BodyText"/>
        <w:ind w:left="1440" w:hanging="1440"/>
        <w:rPr>
          <w:bCs/>
        </w:rPr>
      </w:pPr>
      <w:r>
        <w:rPr>
          <w:bCs/>
        </w:rPr>
        <w:t>And</w:t>
      </w:r>
      <w:r>
        <w:rPr>
          <w:bCs/>
        </w:rPr>
        <w:tab/>
      </w:r>
    </w:p>
    <w:p w:rsidR="00C403C6" w:rsidRPr="00F4521E" w:rsidRDefault="00C403C6" w:rsidP="00C403C6">
      <w:pPr>
        <w:pStyle w:val="Proposal"/>
        <w:numPr>
          <w:ilvl w:val="0"/>
          <w:numId w:val="12"/>
        </w:numPr>
        <w:tabs>
          <w:tab w:val="clear" w:pos="1304"/>
        </w:tabs>
        <w:ind w:left="1701" w:hanging="1701"/>
        <w:rPr>
          <w:rFonts w:ascii="Times New Roman" w:eastAsia="宋体" w:hAnsi="Times New Roman"/>
        </w:rPr>
      </w:pPr>
      <w:r w:rsidRPr="00F4521E">
        <w:rPr>
          <w:rFonts w:ascii="Times New Roman" w:eastAsia="宋体" w:hAnsi="Times New Roman"/>
        </w:rPr>
        <w:t xml:space="preserve">No need to Introduce that stationary network broadcasts indication of supporting mobile-IAB camping. The </w:t>
      </w:r>
      <w:proofErr w:type="spellStart"/>
      <w:r w:rsidRPr="00C403C6">
        <w:rPr>
          <w:rFonts w:ascii="Times New Roman" w:eastAsia="宋体" w:hAnsi="Times New Roman"/>
        </w:rPr>
        <w:t>iab</w:t>
      </w:r>
      <w:proofErr w:type="spellEnd"/>
      <w:r w:rsidRPr="00C403C6">
        <w:rPr>
          <w:rFonts w:ascii="Times New Roman" w:eastAsia="宋体" w:hAnsi="Times New Roman"/>
        </w:rPr>
        <w:t>-support</w:t>
      </w:r>
      <w:r w:rsidRPr="00F4521E">
        <w:rPr>
          <w:rFonts w:ascii="Times New Roman" w:eastAsia="宋体" w:hAnsi="Times New Roman"/>
        </w:rPr>
        <w:t xml:space="preserve"> is sufficient to allow mobile IAB camping on an IAB-capable cell</w:t>
      </w:r>
    </w:p>
    <w:p w:rsidR="00C403C6" w:rsidRPr="006D0AF4" w:rsidRDefault="00C403C6" w:rsidP="00C403C6">
      <w:pPr>
        <w:pStyle w:val="Proposal"/>
        <w:numPr>
          <w:ilvl w:val="0"/>
          <w:numId w:val="12"/>
        </w:numPr>
        <w:tabs>
          <w:tab w:val="clear" w:pos="1304"/>
        </w:tabs>
        <w:ind w:left="1701" w:hanging="1701"/>
        <w:rPr>
          <w:rFonts w:ascii="Times New Roman" w:eastAsia="宋体" w:hAnsi="Times New Roman"/>
        </w:rPr>
      </w:pPr>
      <w:r w:rsidRPr="006D0AF4">
        <w:rPr>
          <w:rFonts w:ascii="Times New Roman" w:eastAsia="宋体" w:hAnsi="Times New Roman"/>
        </w:rPr>
        <w:t xml:space="preserve">Rel-16/Rel-17 IAB procedure with additionally mobile IAB cell reselection or redirection is sufficient to guarantee mobile IAB connection to network, without </w:t>
      </w:r>
      <w:r w:rsidRPr="00F4521E">
        <w:rPr>
          <w:rFonts w:ascii="Times New Roman" w:eastAsia="宋体" w:hAnsi="Times New Roman"/>
        </w:rPr>
        <w:t>network broadcast</w:t>
      </w:r>
      <w:r w:rsidRPr="006D0AF4">
        <w:rPr>
          <w:rFonts w:ascii="Times New Roman" w:eastAsia="宋体" w:hAnsi="Times New Roman"/>
        </w:rPr>
        <w:t>ing</w:t>
      </w:r>
      <w:r w:rsidRPr="00F4521E">
        <w:rPr>
          <w:rFonts w:ascii="Times New Roman" w:eastAsia="宋体" w:hAnsi="Times New Roman"/>
        </w:rPr>
        <w:t xml:space="preserve"> indication of supporting mobile-IAB</w:t>
      </w:r>
    </w:p>
    <w:p w:rsidR="00C403C6" w:rsidRPr="00D40FE4" w:rsidRDefault="00C403C6" w:rsidP="00C403C6">
      <w:pPr>
        <w:pStyle w:val="Proposal"/>
        <w:numPr>
          <w:ilvl w:val="0"/>
          <w:numId w:val="12"/>
        </w:numPr>
        <w:tabs>
          <w:tab w:val="clear" w:pos="1304"/>
        </w:tabs>
        <w:ind w:left="1701" w:hanging="1701"/>
        <w:rPr>
          <w:rFonts w:ascii="Times New Roman" w:eastAsia="宋体" w:hAnsi="Times New Roman"/>
        </w:rPr>
      </w:pPr>
      <w:r w:rsidRPr="00D40FE4">
        <w:rPr>
          <w:rFonts w:ascii="Times New Roman" w:eastAsia="宋体" w:hAnsi="Times New Roman"/>
        </w:rPr>
        <w:t>The usage of the 1 bit mobile-IAB cell type indication by Rel-18 UE is left to implementation</w:t>
      </w:r>
    </w:p>
    <w:p w:rsidR="00C403C6" w:rsidRPr="003B2A24" w:rsidRDefault="00C403C6" w:rsidP="00C403C6">
      <w:pPr>
        <w:pStyle w:val="Proposal"/>
        <w:numPr>
          <w:ilvl w:val="0"/>
          <w:numId w:val="12"/>
        </w:numPr>
        <w:tabs>
          <w:tab w:val="clear" w:pos="1304"/>
        </w:tabs>
        <w:ind w:left="1701" w:hanging="1701"/>
        <w:rPr>
          <w:rFonts w:ascii="Times New Roman" w:eastAsia="宋体" w:hAnsi="Times New Roman"/>
        </w:rPr>
      </w:pPr>
      <w:r w:rsidRPr="003B2A24">
        <w:rPr>
          <w:rFonts w:ascii="Times New Roman" w:eastAsia="宋体" w:hAnsi="Times New Roman"/>
        </w:rPr>
        <w:lastRenderedPageBreak/>
        <w:t xml:space="preserve">Solution Option 2, i.e., “The RRC Reconfiguration messages are sent to the UEs, where they are withheld until a condition has been met, which may be based on a broadcast by the logical source IAB-DU.” is deprioritized </w:t>
      </w:r>
      <w:r>
        <w:rPr>
          <w:rFonts w:ascii="Times New Roman" w:eastAsia="宋体" w:hAnsi="Times New Roman"/>
        </w:rPr>
        <w:t>as it may not work for legacy UEs.</w:t>
      </w:r>
    </w:p>
    <w:p w:rsidR="00EF65B8" w:rsidRPr="00BC257A" w:rsidRDefault="00BC257A" w:rsidP="00BC257A">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 xml:space="preserve">For simplicity </w:t>
      </w:r>
      <w:r w:rsidRPr="003B2A24">
        <w:rPr>
          <w:rFonts w:ascii="Times New Roman" w:eastAsia="宋体" w:hAnsi="Times New Roman"/>
        </w:rPr>
        <w:t xml:space="preserve">Solution Option </w:t>
      </w:r>
      <w:r>
        <w:rPr>
          <w:rFonts w:ascii="Times New Roman" w:eastAsia="宋体" w:hAnsi="Times New Roman"/>
        </w:rPr>
        <w:t>1 is considered as baseline.</w:t>
      </w:r>
    </w:p>
    <w:p w:rsidR="00EF65B8" w:rsidRDefault="001B74C3">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sectPr w:rsidR="00EF65B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798" w:rsidRDefault="00A13798">
      <w:r>
        <w:separator/>
      </w:r>
    </w:p>
  </w:endnote>
  <w:endnote w:type="continuationSeparator" w:id="0">
    <w:p w:rsidR="00A13798" w:rsidRDefault="00A1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798" w:rsidRDefault="00A13798">
      <w:r>
        <w:separator/>
      </w:r>
    </w:p>
  </w:footnote>
  <w:footnote w:type="continuationSeparator" w:id="0">
    <w:p w:rsidR="00A13798" w:rsidRDefault="00A13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5B8" w:rsidRDefault="00EF65B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C47"/>
    <w:multiLevelType w:val="multilevel"/>
    <w:tmpl w:val="1CA4376A"/>
    <w:lvl w:ilvl="0">
      <w:start w:val="1"/>
      <w:numFmt w:val="bullet"/>
      <w:lvlText w:val=""/>
      <w:lvlJc w:val="left"/>
      <w:pPr>
        <w:tabs>
          <w:tab w:val="num" w:pos="1352"/>
        </w:tabs>
        <w:ind w:left="1352"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CD0C42"/>
    <w:multiLevelType w:val="multilevel"/>
    <w:tmpl w:val="EC340C98"/>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3B07EB"/>
    <w:multiLevelType w:val="multilevel"/>
    <w:tmpl w:val="06A0A844"/>
    <w:lvl w:ilvl="0">
      <w:start w:val="1"/>
      <w:numFmt w:val="bullet"/>
      <w:lvlText w:val=""/>
      <w:lvlJc w:val="left"/>
      <w:pPr>
        <w:tabs>
          <w:tab w:val="num" w:pos="1352"/>
        </w:tabs>
        <w:ind w:left="1352"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CE138F"/>
    <w:multiLevelType w:val="multilevel"/>
    <w:tmpl w:val="2256CA44"/>
    <w:lvl w:ilvl="0">
      <w:start w:val="1"/>
      <w:numFmt w:val="bullet"/>
      <w:lvlText w:val=""/>
      <w:lvlJc w:val="left"/>
      <w:pPr>
        <w:tabs>
          <w:tab w:val="num" w:pos="1352"/>
        </w:tabs>
        <w:ind w:left="1352"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65A3822"/>
    <w:multiLevelType w:val="multilevel"/>
    <w:tmpl w:val="465A382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70646CF"/>
    <w:multiLevelType w:val="multilevel"/>
    <w:tmpl w:val="4B72E72A"/>
    <w:lvl w:ilvl="0">
      <w:start w:val="1"/>
      <w:numFmt w:val="bullet"/>
      <w:lvlText w:val=""/>
      <w:lvlJc w:val="left"/>
      <w:pPr>
        <w:tabs>
          <w:tab w:val="num" w:pos="-6480"/>
        </w:tabs>
        <w:ind w:left="-6480" w:hanging="360"/>
      </w:pPr>
      <w:rPr>
        <w:rFonts w:ascii="Symbol" w:hAnsi="Symbol" w:hint="default"/>
        <w:b/>
        <w:i w:val="0"/>
        <w:sz w:val="22"/>
        <w:szCs w:val="22"/>
      </w:rPr>
    </w:lvl>
    <w:lvl w:ilvl="1">
      <w:start w:val="1"/>
      <w:numFmt w:val="bullet"/>
      <w:lvlText w:val="o"/>
      <w:lvlJc w:val="left"/>
      <w:pPr>
        <w:tabs>
          <w:tab w:val="num" w:pos="-5670"/>
        </w:tabs>
        <w:ind w:left="-5670" w:hanging="360"/>
      </w:pPr>
      <w:rPr>
        <w:rFonts w:ascii="Courier New" w:hAnsi="Courier New" w:cs="Courier New" w:hint="default"/>
      </w:rPr>
    </w:lvl>
    <w:lvl w:ilvl="2">
      <w:start w:val="1"/>
      <w:numFmt w:val="bullet"/>
      <w:lvlText w:val=""/>
      <w:lvlJc w:val="left"/>
      <w:pPr>
        <w:tabs>
          <w:tab w:val="num" w:pos="-4950"/>
        </w:tabs>
        <w:ind w:left="-4950" w:hanging="360"/>
      </w:pPr>
      <w:rPr>
        <w:rFonts w:ascii="Wingdings" w:hAnsi="Wingdings" w:hint="default"/>
      </w:rPr>
    </w:lvl>
    <w:lvl w:ilvl="3">
      <w:start w:val="1"/>
      <w:numFmt w:val="bullet"/>
      <w:lvlText w:val=""/>
      <w:lvlJc w:val="left"/>
      <w:pPr>
        <w:tabs>
          <w:tab w:val="num" w:pos="-4230"/>
        </w:tabs>
        <w:ind w:left="-4230" w:hanging="360"/>
      </w:pPr>
      <w:rPr>
        <w:rFonts w:ascii="Symbol" w:hAnsi="Symbol" w:hint="default"/>
      </w:rPr>
    </w:lvl>
    <w:lvl w:ilvl="4">
      <w:start w:val="1"/>
      <w:numFmt w:val="bullet"/>
      <w:lvlText w:val="o"/>
      <w:lvlJc w:val="left"/>
      <w:pPr>
        <w:tabs>
          <w:tab w:val="num" w:pos="-3510"/>
        </w:tabs>
        <w:ind w:left="-3510" w:hanging="360"/>
      </w:pPr>
      <w:rPr>
        <w:rFonts w:ascii="Courier New" w:hAnsi="Courier New" w:cs="Courier New" w:hint="default"/>
      </w:rPr>
    </w:lvl>
    <w:lvl w:ilvl="5">
      <w:start w:val="1"/>
      <w:numFmt w:val="bullet"/>
      <w:lvlText w:val=""/>
      <w:lvlJc w:val="left"/>
      <w:pPr>
        <w:tabs>
          <w:tab w:val="num" w:pos="-2790"/>
        </w:tabs>
        <w:ind w:left="-2790" w:hanging="360"/>
      </w:pPr>
      <w:rPr>
        <w:rFonts w:ascii="Wingdings" w:hAnsi="Wingdings" w:hint="default"/>
      </w:rPr>
    </w:lvl>
    <w:lvl w:ilvl="6">
      <w:start w:val="1"/>
      <w:numFmt w:val="bullet"/>
      <w:lvlText w:val=""/>
      <w:lvlJc w:val="left"/>
      <w:pPr>
        <w:tabs>
          <w:tab w:val="num" w:pos="-2070"/>
        </w:tabs>
        <w:ind w:left="-2070" w:hanging="360"/>
      </w:pPr>
      <w:rPr>
        <w:rFonts w:ascii="Symbol" w:hAnsi="Symbol" w:hint="default"/>
      </w:rPr>
    </w:lvl>
    <w:lvl w:ilvl="7">
      <w:start w:val="1"/>
      <w:numFmt w:val="bullet"/>
      <w:lvlText w:val="o"/>
      <w:lvlJc w:val="left"/>
      <w:pPr>
        <w:tabs>
          <w:tab w:val="num" w:pos="-1350"/>
        </w:tabs>
        <w:ind w:left="-1350" w:hanging="360"/>
      </w:pPr>
      <w:rPr>
        <w:rFonts w:ascii="Courier New" w:hAnsi="Courier New" w:cs="Courier New" w:hint="default"/>
      </w:rPr>
    </w:lvl>
    <w:lvl w:ilvl="8">
      <w:start w:val="1"/>
      <w:numFmt w:val="bullet"/>
      <w:lvlText w:val=""/>
      <w:lvlJc w:val="left"/>
      <w:pPr>
        <w:tabs>
          <w:tab w:val="num" w:pos="-630"/>
        </w:tabs>
        <w:ind w:left="-630" w:hanging="360"/>
      </w:pPr>
      <w:rPr>
        <w:rFonts w:ascii="Wingdings" w:hAnsi="Wingdings" w:hint="default"/>
      </w:rPr>
    </w:lvl>
  </w:abstractNum>
  <w:abstractNum w:abstractNumId="11" w15:restartNumberingAfterBreak="0">
    <w:nsid w:val="613A372B"/>
    <w:multiLevelType w:val="multilevel"/>
    <w:tmpl w:val="613A372B"/>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3201193"/>
    <w:multiLevelType w:val="multilevel"/>
    <w:tmpl w:val="F26CC51C"/>
    <w:lvl w:ilvl="0">
      <w:start w:val="1"/>
      <w:numFmt w:val="bullet"/>
      <w:lvlText w:val=""/>
      <w:lvlJc w:val="left"/>
      <w:pPr>
        <w:tabs>
          <w:tab w:val="num" w:pos="1352"/>
        </w:tabs>
        <w:ind w:left="1352"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62019B"/>
    <w:multiLevelType w:val="multilevel"/>
    <w:tmpl w:val="6662019B"/>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682E0263"/>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450"/>
        </w:tabs>
        <w:ind w:left="-450" w:hanging="360"/>
      </w:pPr>
      <w:rPr>
        <w:rFonts w:ascii="Courier New" w:hAnsi="Courier New" w:cs="Courier New" w:hint="default"/>
      </w:rPr>
    </w:lvl>
    <w:lvl w:ilvl="2">
      <w:start w:val="1"/>
      <w:numFmt w:val="bullet"/>
      <w:lvlText w:val=""/>
      <w:lvlJc w:val="left"/>
      <w:pPr>
        <w:tabs>
          <w:tab w:val="left" w:pos="270"/>
        </w:tabs>
        <w:ind w:left="270" w:hanging="360"/>
      </w:pPr>
      <w:rPr>
        <w:rFonts w:ascii="Wingdings" w:hAnsi="Wingdings" w:hint="default"/>
      </w:rPr>
    </w:lvl>
    <w:lvl w:ilvl="3">
      <w:start w:val="1"/>
      <w:numFmt w:val="bullet"/>
      <w:lvlText w:val=""/>
      <w:lvlJc w:val="left"/>
      <w:pPr>
        <w:tabs>
          <w:tab w:val="left" w:pos="990"/>
        </w:tabs>
        <w:ind w:left="990" w:hanging="360"/>
      </w:pPr>
      <w:rPr>
        <w:rFonts w:ascii="Symbol" w:hAnsi="Symbol" w:hint="default"/>
      </w:rPr>
    </w:lvl>
    <w:lvl w:ilvl="4">
      <w:start w:val="1"/>
      <w:numFmt w:val="bullet"/>
      <w:lvlText w:val="o"/>
      <w:lvlJc w:val="left"/>
      <w:pPr>
        <w:tabs>
          <w:tab w:val="left" w:pos="1710"/>
        </w:tabs>
        <w:ind w:left="1710" w:hanging="360"/>
      </w:pPr>
      <w:rPr>
        <w:rFonts w:ascii="Courier New" w:hAnsi="Courier New" w:cs="Courier New" w:hint="default"/>
      </w:rPr>
    </w:lvl>
    <w:lvl w:ilvl="5">
      <w:start w:val="1"/>
      <w:numFmt w:val="bullet"/>
      <w:lvlText w:val=""/>
      <w:lvlJc w:val="left"/>
      <w:pPr>
        <w:tabs>
          <w:tab w:val="left" w:pos="2430"/>
        </w:tabs>
        <w:ind w:left="2430" w:hanging="360"/>
      </w:pPr>
      <w:rPr>
        <w:rFonts w:ascii="Wingdings" w:hAnsi="Wingdings" w:hint="default"/>
      </w:rPr>
    </w:lvl>
    <w:lvl w:ilvl="6">
      <w:start w:val="1"/>
      <w:numFmt w:val="bullet"/>
      <w:lvlText w:val=""/>
      <w:lvlJc w:val="left"/>
      <w:pPr>
        <w:tabs>
          <w:tab w:val="left" w:pos="3150"/>
        </w:tabs>
        <w:ind w:left="315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4590"/>
        </w:tabs>
        <w:ind w:left="459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3B65CCE"/>
    <w:multiLevelType w:val="multilevel"/>
    <w:tmpl w:val="49E8CB3C"/>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448"/>
        </w:tabs>
        <w:ind w:left="448" w:hanging="360"/>
      </w:pPr>
      <w:rPr>
        <w:rFonts w:ascii="Courier New" w:hAnsi="Courier New" w:cs="Courier New" w:hint="default"/>
      </w:rPr>
    </w:lvl>
    <w:lvl w:ilvl="2">
      <w:start w:val="1"/>
      <w:numFmt w:val="bullet"/>
      <w:lvlText w:val=""/>
      <w:lvlJc w:val="left"/>
      <w:pPr>
        <w:tabs>
          <w:tab w:val="num" w:pos="1168"/>
        </w:tabs>
        <w:ind w:left="1168" w:hanging="360"/>
      </w:pPr>
      <w:rPr>
        <w:rFonts w:ascii="Wingdings" w:hAnsi="Wingdings" w:hint="default"/>
      </w:rPr>
    </w:lvl>
    <w:lvl w:ilvl="3">
      <w:start w:val="1"/>
      <w:numFmt w:val="bullet"/>
      <w:lvlText w:val=""/>
      <w:lvlJc w:val="left"/>
      <w:pPr>
        <w:tabs>
          <w:tab w:val="num" w:pos="1888"/>
        </w:tabs>
        <w:ind w:left="1888" w:hanging="360"/>
      </w:pPr>
      <w:rPr>
        <w:rFonts w:ascii="Symbol" w:hAnsi="Symbol" w:hint="default"/>
      </w:rPr>
    </w:lvl>
    <w:lvl w:ilvl="4">
      <w:start w:val="1"/>
      <w:numFmt w:val="bullet"/>
      <w:lvlText w:val="o"/>
      <w:lvlJc w:val="left"/>
      <w:pPr>
        <w:tabs>
          <w:tab w:val="num" w:pos="2608"/>
        </w:tabs>
        <w:ind w:left="2608" w:hanging="360"/>
      </w:pPr>
      <w:rPr>
        <w:rFonts w:ascii="Courier New" w:hAnsi="Courier New" w:cs="Courier New" w:hint="default"/>
      </w:rPr>
    </w:lvl>
    <w:lvl w:ilvl="5">
      <w:start w:val="1"/>
      <w:numFmt w:val="bullet"/>
      <w:lvlText w:val=""/>
      <w:lvlJc w:val="left"/>
      <w:pPr>
        <w:tabs>
          <w:tab w:val="num" w:pos="3328"/>
        </w:tabs>
        <w:ind w:left="3328" w:hanging="360"/>
      </w:pPr>
      <w:rPr>
        <w:rFonts w:ascii="Wingdings" w:hAnsi="Wingdings" w:hint="default"/>
      </w:rPr>
    </w:lvl>
    <w:lvl w:ilvl="6">
      <w:start w:val="1"/>
      <w:numFmt w:val="bullet"/>
      <w:lvlText w:val=""/>
      <w:lvlJc w:val="left"/>
      <w:pPr>
        <w:tabs>
          <w:tab w:val="num" w:pos="4048"/>
        </w:tabs>
        <w:ind w:left="4048" w:hanging="360"/>
      </w:pPr>
      <w:rPr>
        <w:rFonts w:ascii="Symbol" w:hAnsi="Symbol" w:hint="default"/>
      </w:rPr>
    </w:lvl>
    <w:lvl w:ilvl="7">
      <w:start w:val="1"/>
      <w:numFmt w:val="bullet"/>
      <w:lvlText w:val="o"/>
      <w:lvlJc w:val="left"/>
      <w:pPr>
        <w:tabs>
          <w:tab w:val="num" w:pos="4768"/>
        </w:tabs>
        <w:ind w:left="4768" w:hanging="360"/>
      </w:pPr>
      <w:rPr>
        <w:rFonts w:ascii="Courier New" w:hAnsi="Courier New" w:cs="Courier New" w:hint="default"/>
      </w:rPr>
    </w:lvl>
    <w:lvl w:ilvl="8">
      <w:start w:val="1"/>
      <w:numFmt w:val="bullet"/>
      <w:lvlText w:val=""/>
      <w:lvlJc w:val="left"/>
      <w:pPr>
        <w:tabs>
          <w:tab w:val="num" w:pos="5488"/>
        </w:tabs>
        <w:ind w:left="5488" w:hanging="360"/>
      </w:pPr>
      <w:rPr>
        <w:rFonts w:ascii="Wingdings" w:hAnsi="Wingdings" w:hint="default"/>
      </w:rPr>
    </w:lvl>
  </w:abstractNum>
  <w:abstractNum w:abstractNumId="19" w15:restartNumberingAfterBreak="0">
    <w:nsid w:val="758711EB"/>
    <w:multiLevelType w:val="multilevel"/>
    <w:tmpl w:val="546C26A6"/>
    <w:lvl w:ilvl="0">
      <w:start w:val="1"/>
      <w:numFmt w:val="bullet"/>
      <w:lvlText w:val=""/>
      <w:lvlJc w:val="left"/>
      <w:pPr>
        <w:tabs>
          <w:tab w:val="num" w:pos="1352"/>
        </w:tabs>
        <w:ind w:left="1352"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9"/>
  </w:num>
  <w:num w:numId="3">
    <w:abstractNumId w:val="5"/>
  </w:num>
  <w:num w:numId="4">
    <w:abstractNumId w:val="8"/>
  </w:num>
  <w:num w:numId="5">
    <w:abstractNumId w:val="16"/>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13"/>
  </w:num>
  <w:num w:numId="12">
    <w:abstractNumId w:val="14"/>
  </w:num>
  <w:num w:numId="13">
    <w:abstractNumId w:val="20"/>
  </w:num>
  <w:num w:numId="14">
    <w:abstractNumId w:val="3"/>
  </w:num>
  <w:num w:numId="15">
    <w:abstractNumId w:val="12"/>
  </w:num>
  <w:num w:numId="16">
    <w:abstractNumId w:val="4"/>
  </w:num>
  <w:num w:numId="17">
    <w:abstractNumId w:val="18"/>
  </w:num>
  <w:num w:numId="18">
    <w:abstractNumId w:val="0"/>
  </w:num>
  <w:num w:numId="19">
    <w:abstractNumId w:val="19"/>
  </w:num>
  <w:num w:numId="20">
    <w:abstractNumId w:val="1"/>
  </w:num>
  <w:num w:numId="21">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7A7"/>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69CF"/>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20C7"/>
    <w:rsid w:val="0005214F"/>
    <w:rsid w:val="00052966"/>
    <w:rsid w:val="00053004"/>
    <w:rsid w:val="000534A1"/>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511"/>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FA3"/>
    <w:rsid w:val="000C3170"/>
    <w:rsid w:val="000C31B8"/>
    <w:rsid w:val="000C345D"/>
    <w:rsid w:val="000C3B16"/>
    <w:rsid w:val="000C3CFF"/>
    <w:rsid w:val="000C472E"/>
    <w:rsid w:val="000C493F"/>
    <w:rsid w:val="000C4D73"/>
    <w:rsid w:val="000C4D87"/>
    <w:rsid w:val="000C515A"/>
    <w:rsid w:val="000C6024"/>
    <w:rsid w:val="000C6385"/>
    <w:rsid w:val="000C6AD0"/>
    <w:rsid w:val="000C73A4"/>
    <w:rsid w:val="000D08C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D13"/>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8CC"/>
    <w:rsid w:val="00120A72"/>
    <w:rsid w:val="00121651"/>
    <w:rsid w:val="001216B6"/>
    <w:rsid w:val="00121DA2"/>
    <w:rsid w:val="00121F6C"/>
    <w:rsid w:val="00122469"/>
    <w:rsid w:val="0012277C"/>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4C3"/>
    <w:rsid w:val="001B7906"/>
    <w:rsid w:val="001C00BD"/>
    <w:rsid w:val="001C01B7"/>
    <w:rsid w:val="001C0A2A"/>
    <w:rsid w:val="001C0B27"/>
    <w:rsid w:val="001C0BC4"/>
    <w:rsid w:val="001C1A97"/>
    <w:rsid w:val="001C235F"/>
    <w:rsid w:val="001C2710"/>
    <w:rsid w:val="001C354A"/>
    <w:rsid w:val="001C3959"/>
    <w:rsid w:val="001C3D68"/>
    <w:rsid w:val="001C41EF"/>
    <w:rsid w:val="001C4C8A"/>
    <w:rsid w:val="001C4D23"/>
    <w:rsid w:val="001C4F0D"/>
    <w:rsid w:val="001C510B"/>
    <w:rsid w:val="001C5551"/>
    <w:rsid w:val="001C56C5"/>
    <w:rsid w:val="001C5A2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0CF3"/>
    <w:rsid w:val="00201137"/>
    <w:rsid w:val="00201211"/>
    <w:rsid w:val="002017E2"/>
    <w:rsid w:val="00201D35"/>
    <w:rsid w:val="0020210B"/>
    <w:rsid w:val="002021E9"/>
    <w:rsid w:val="002021EF"/>
    <w:rsid w:val="0020252D"/>
    <w:rsid w:val="00202F18"/>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A17"/>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00E"/>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82"/>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2E79"/>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9EC"/>
    <w:rsid w:val="00295B3F"/>
    <w:rsid w:val="00296077"/>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4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3B33"/>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BEF"/>
    <w:rsid w:val="002E6C57"/>
    <w:rsid w:val="002E6F39"/>
    <w:rsid w:val="002E734D"/>
    <w:rsid w:val="002E7578"/>
    <w:rsid w:val="002E765E"/>
    <w:rsid w:val="002E76E2"/>
    <w:rsid w:val="002E78FC"/>
    <w:rsid w:val="002E79C0"/>
    <w:rsid w:val="002E7B11"/>
    <w:rsid w:val="002F0232"/>
    <w:rsid w:val="002F052A"/>
    <w:rsid w:val="002F0946"/>
    <w:rsid w:val="002F0D83"/>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6C2"/>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28F"/>
    <w:rsid w:val="003324D7"/>
    <w:rsid w:val="003329D3"/>
    <w:rsid w:val="00332DB3"/>
    <w:rsid w:val="00332F39"/>
    <w:rsid w:val="003343FF"/>
    <w:rsid w:val="0033494C"/>
    <w:rsid w:val="003359D0"/>
    <w:rsid w:val="00335C6B"/>
    <w:rsid w:val="00335D9C"/>
    <w:rsid w:val="00335FD9"/>
    <w:rsid w:val="00335FEC"/>
    <w:rsid w:val="0033600D"/>
    <w:rsid w:val="003364B0"/>
    <w:rsid w:val="0033660F"/>
    <w:rsid w:val="00336A20"/>
    <w:rsid w:val="00336FFE"/>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9A4"/>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12D"/>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BCA"/>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731"/>
    <w:rsid w:val="00366D27"/>
    <w:rsid w:val="00367E11"/>
    <w:rsid w:val="0037093A"/>
    <w:rsid w:val="00370C1B"/>
    <w:rsid w:val="00370D82"/>
    <w:rsid w:val="00371114"/>
    <w:rsid w:val="0037196E"/>
    <w:rsid w:val="00371D3F"/>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10B1"/>
    <w:rsid w:val="0038176D"/>
    <w:rsid w:val="003817C3"/>
    <w:rsid w:val="003820D5"/>
    <w:rsid w:val="00382341"/>
    <w:rsid w:val="00382699"/>
    <w:rsid w:val="00382EEB"/>
    <w:rsid w:val="003835FA"/>
    <w:rsid w:val="00384388"/>
    <w:rsid w:val="003845E9"/>
    <w:rsid w:val="00384660"/>
    <w:rsid w:val="00384CFE"/>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A24"/>
    <w:rsid w:val="003B2C76"/>
    <w:rsid w:val="003B2F65"/>
    <w:rsid w:val="003B3748"/>
    <w:rsid w:val="003B3977"/>
    <w:rsid w:val="003B3AB5"/>
    <w:rsid w:val="003B3CEC"/>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35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296D"/>
    <w:rsid w:val="00412A5D"/>
    <w:rsid w:val="00413096"/>
    <w:rsid w:val="0041344F"/>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8F7"/>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2E1"/>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616"/>
    <w:rsid w:val="0048097C"/>
    <w:rsid w:val="00480BFA"/>
    <w:rsid w:val="00480DC5"/>
    <w:rsid w:val="0048149D"/>
    <w:rsid w:val="0048152B"/>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0A9"/>
    <w:rsid w:val="004866B4"/>
    <w:rsid w:val="00486923"/>
    <w:rsid w:val="004871A0"/>
    <w:rsid w:val="00487200"/>
    <w:rsid w:val="00487475"/>
    <w:rsid w:val="0048750C"/>
    <w:rsid w:val="00487733"/>
    <w:rsid w:val="004879FD"/>
    <w:rsid w:val="00490021"/>
    <w:rsid w:val="0049009D"/>
    <w:rsid w:val="004900BE"/>
    <w:rsid w:val="00490991"/>
    <w:rsid w:val="00490C33"/>
    <w:rsid w:val="00490E14"/>
    <w:rsid w:val="00490E27"/>
    <w:rsid w:val="00491267"/>
    <w:rsid w:val="004913E5"/>
    <w:rsid w:val="004915D5"/>
    <w:rsid w:val="00491ADE"/>
    <w:rsid w:val="00491D73"/>
    <w:rsid w:val="00491E34"/>
    <w:rsid w:val="004924B1"/>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73"/>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8A2"/>
    <w:rsid w:val="004F2ECB"/>
    <w:rsid w:val="004F3053"/>
    <w:rsid w:val="004F3085"/>
    <w:rsid w:val="004F319F"/>
    <w:rsid w:val="004F328A"/>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076"/>
    <w:rsid w:val="00507252"/>
    <w:rsid w:val="005076E8"/>
    <w:rsid w:val="005079D8"/>
    <w:rsid w:val="0051003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83C"/>
    <w:rsid w:val="00536B5C"/>
    <w:rsid w:val="0053711E"/>
    <w:rsid w:val="00537131"/>
    <w:rsid w:val="005371B8"/>
    <w:rsid w:val="00537A86"/>
    <w:rsid w:val="00537D44"/>
    <w:rsid w:val="005402E2"/>
    <w:rsid w:val="0054083E"/>
    <w:rsid w:val="00540C91"/>
    <w:rsid w:val="00540EDF"/>
    <w:rsid w:val="0054100F"/>
    <w:rsid w:val="00542408"/>
    <w:rsid w:val="0054288C"/>
    <w:rsid w:val="00542D35"/>
    <w:rsid w:val="00542EBB"/>
    <w:rsid w:val="0054319A"/>
    <w:rsid w:val="00543212"/>
    <w:rsid w:val="0054367B"/>
    <w:rsid w:val="00543809"/>
    <w:rsid w:val="00543B88"/>
    <w:rsid w:val="00543C53"/>
    <w:rsid w:val="00543ED2"/>
    <w:rsid w:val="00544903"/>
    <w:rsid w:val="00544F2D"/>
    <w:rsid w:val="00544FC5"/>
    <w:rsid w:val="00545EC5"/>
    <w:rsid w:val="00546680"/>
    <w:rsid w:val="00546CB6"/>
    <w:rsid w:val="00547177"/>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3516"/>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1789"/>
    <w:rsid w:val="00591FF0"/>
    <w:rsid w:val="00592518"/>
    <w:rsid w:val="00592632"/>
    <w:rsid w:val="00592DED"/>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2BA6"/>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77E"/>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B60"/>
    <w:rsid w:val="005E7F66"/>
    <w:rsid w:val="005F044F"/>
    <w:rsid w:val="005F0905"/>
    <w:rsid w:val="005F0BF6"/>
    <w:rsid w:val="005F0EA7"/>
    <w:rsid w:val="005F0F5F"/>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6B13"/>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00"/>
    <w:rsid w:val="00637B46"/>
    <w:rsid w:val="00637F9A"/>
    <w:rsid w:val="00637FB3"/>
    <w:rsid w:val="00640177"/>
    <w:rsid w:val="00640A0F"/>
    <w:rsid w:val="00641925"/>
    <w:rsid w:val="00641926"/>
    <w:rsid w:val="00641CA2"/>
    <w:rsid w:val="00641EEC"/>
    <w:rsid w:val="00642285"/>
    <w:rsid w:val="006429D8"/>
    <w:rsid w:val="006433B8"/>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97D"/>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6D1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ACD"/>
    <w:rsid w:val="00694D5C"/>
    <w:rsid w:val="00694DA3"/>
    <w:rsid w:val="00694F03"/>
    <w:rsid w:val="00694F8C"/>
    <w:rsid w:val="0069501D"/>
    <w:rsid w:val="006960F5"/>
    <w:rsid w:val="00696843"/>
    <w:rsid w:val="00696A75"/>
    <w:rsid w:val="00696B5D"/>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14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2DA"/>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F22"/>
    <w:rsid w:val="006C1F58"/>
    <w:rsid w:val="006C29CE"/>
    <w:rsid w:val="006C3100"/>
    <w:rsid w:val="006C31C2"/>
    <w:rsid w:val="006C3673"/>
    <w:rsid w:val="006C387D"/>
    <w:rsid w:val="006C3B7A"/>
    <w:rsid w:val="006C3D77"/>
    <w:rsid w:val="006C400E"/>
    <w:rsid w:val="006C632F"/>
    <w:rsid w:val="006C65E2"/>
    <w:rsid w:val="006C6B7C"/>
    <w:rsid w:val="006C6DFE"/>
    <w:rsid w:val="006C6EB3"/>
    <w:rsid w:val="006C703C"/>
    <w:rsid w:val="006C7318"/>
    <w:rsid w:val="006C7F83"/>
    <w:rsid w:val="006D0AF4"/>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095"/>
    <w:rsid w:val="007003A3"/>
    <w:rsid w:val="007010F1"/>
    <w:rsid w:val="00701174"/>
    <w:rsid w:val="00701342"/>
    <w:rsid w:val="007013AC"/>
    <w:rsid w:val="00701410"/>
    <w:rsid w:val="00701502"/>
    <w:rsid w:val="007016C4"/>
    <w:rsid w:val="00701A1E"/>
    <w:rsid w:val="00701BF3"/>
    <w:rsid w:val="007020AC"/>
    <w:rsid w:val="007022B6"/>
    <w:rsid w:val="0070248D"/>
    <w:rsid w:val="00702BBF"/>
    <w:rsid w:val="00702DB9"/>
    <w:rsid w:val="00702EF2"/>
    <w:rsid w:val="00702F01"/>
    <w:rsid w:val="0070323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486"/>
    <w:rsid w:val="00713D36"/>
    <w:rsid w:val="00714769"/>
    <w:rsid w:val="00715427"/>
    <w:rsid w:val="00715965"/>
    <w:rsid w:val="007159A6"/>
    <w:rsid w:val="0071617F"/>
    <w:rsid w:val="007161A2"/>
    <w:rsid w:val="00716D1E"/>
    <w:rsid w:val="00716D5F"/>
    <w:rsid w:val="0071761A"/>
    <w:rsid w:val="007178C3"/>
    <w:rsid w:val="00717988"/>
    <w:rsid w:val="0071798B"/>
    <w:rsid w:val="00721024"/>
    <w:rsid w:val="0072104E"/>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304B"/>
    <w:rsid w:val="007F333E"/>
    <w:rsid w:val="007F39CE"/>
    <w:rsid w:val="007F3ACC"/>
    <w:rsid w:val="007F3DC9"/>
    <w:rsid w:val="007F3F4D"/>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1603F"/>
    <w:rsid w:val="00820247"/>
    <w:rsid w:val="0082116A"/>
    <w:rsid w:val="00821622"/>
    <w:rsid w:val="0082165F"/>
    <w:rsid w:val="0082176A"/>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581"/>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362"/>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7B0"/>
    <w:rsid w:val="008A2C7C"/>
    <w:rsid w:val="008A2FBA"/>
    <w:rsid w:val="008A3493"/>
    <w:rsid w:val="008A3614"/>
    <w:rsid w:val="008A385D"/>
    <w:rsid w:val="008A4040"/>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9D6"/>
    <w:rsid w:val="008B1B90"/>
    <w:rsid w:val="008B20B2"/>
    <w:rsid w:val="008B269F"/>
    <w:rsid w:val="008B2929"/>
    <w:rsid w:val="008B397D"/>
    <w:rsid w:val="008B3B1C"/>
    <w:rsid w:val="008B3BEB"/>
    <w:rsid w:val="008B3EF2"/>
    <w:rsid w:val="008B4865"/>
    <w:rsid w:val="008B59FA"/>
    <w:rsid w:val="008B5BC4"/>
    <w:rsid w:val="008B62F4"/>
    <w:rsid w:val="008B64CE"/>
    <w:rsid w:val="008B6C0F"/>
    <w:rsid w:val="008B6EED"/>
    <w:rsid w:val="008B70FE"/>
    <w:rsid w:val="008B7656"/>
    <w:rsid w:val="008C00B1"/>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3CB0"/>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0C0A"/>
    <w:rsid w:val="008F11C6"/>
    <w:rsid w:val="008F177B"/>
    <w:rsid w:val="008F1A8E"/>
    <w:rsid w:val="008F1E43"/>
    <w:rsid w:val="008F22BA"/>
    <w:rsid w:val="008F2620"/>
    <w:rsid w:val="008F2D0B"/>
    <w:rsid w:val="008F3218"/>
    <w:rsid w:val="008F3355"/>
    <w:rsid w:val="008F397D"/>
    <w:rsid w:val="008F3E2C"/>
    <w:rsid w:val="008F4541"/>
    <w:rsid w:val="008F477F"/>
    <w:rsid w:val="008F47C0"/>
    <w:rsid w:val="008F485F"/>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5D0"/>
    <w:rsid w:val="009118F9"/>
    <w:rsid w:val="0091197F"/>
    <w:rsid w:val="0091363D"/>
    <w:rsid w:val="00913977"/>
    <w:rsid w:val="00914203"/>
    <w:rsid w:val="00914874"/>
    <w:rsid w:val="00914ABA"/>
    <w:rsid w:val="00914B64"/>
    <w:rsid w:val="00914D3F"/>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5DD"/>
    <w:rsid w:val="00937C62"/>
    <w:rsid w:val="0094033F"/>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C41"/>
    <w:rsid w:val="00963E89"/>
    <w:rsid w:val="0096408F"/>
    <w:rsid w:val="00964425"/>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4F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1249"/>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E5D"/>
    <w:rsid w:val="009C6F98"/>
    <w:rsid w:val="009C76FD"/>
    <w:rsid w:val="009C78E9"/>
    <w:rsid w:val="009C7B91"/>
    <w:rsid w:val="009D001A"/>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62"/>
    <w:rsid w:val="009D3EF2"/>
    <w:rsid w:val="009D4132"/>
    <w:rsid w:val="009D48DA"/>
    <w:rsid w:val="009D5D3A"/>
    <w:rsid w:val="009D66E2"/>
    <w:rsid w:val="009D71D0"/>
    <w:rsid w:val="009D75B8"/>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07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798"/>
    <w:rsid w:val="00A13947"/>
    <w:rsid w:val="00A13E05"/>
    <w:rsid w:val="00A14621"/>
    <w:rsid w:val="00A14792"/>
    <w:rsid w:val="00A15910"/>
    <w:rsid w:val="00A16B4A"/>
    <w:rsid w:val="00A178C6"/>
    <w:rsid w:val="00A17960"/>
    <w:rsid w:val="00A17A17"/>
    <w:rsid w:val="00A17BC5"/>
    <w:rsid w:val="00A17CA2"/>
    <w:rsid w:val="00A17FF3"/>
    <w:rsid w:val="00A20A1C"/>
    <w:rsid w:val="00A213F6"/>
    <w:rsid w:val="00A21765"/>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B30"/>
    <w:rsid w:val="00A44108"/>
    <w:rsid w:val="00A4477A"/>
    <w:rsid w:val="00A44993"/>
    <w:rsid w:val="00A457E1"/>
    <w:rsid w:val="00A45A9C"/>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B07"/>
    <w:rsid w:val="00A56166"/>
    <w:rsid w:val="00A56D6B"/>
    <w:rsid w:val="00A56DC5"/>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658"/>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BDE"/>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81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C42"/>
    <w:rsid w:val="00AC5C63"/>
    <w:rsid w:val="00AC5DE1"/>
    <w:rsid w:val="00AC6094"/>
    <w:rsid w:val="00AC62E4"/>
    <w:rsid w:val="00AC62EE"/>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EBD"/>
    <w:rsid w:val="00AE2001"/>
    <w:rsid w:val="00AE21B4"/>
    <w:rsid w:val="00AE246C"/>
    <w:rsid w:val="00AE25C6"/>
    <w:rsid w:val="00AE2BB7"/>
    <w:rsid w:val="00AE3A77"/>
    <w:rsid w:val="00AE3AC0"/>
    <w:rsid w:val="00AE4342"/>
    <w:rsid w:val="00AE45D9"/>
    <w:rsid w:val="00AE465E"/>
    <w:rsid w:val="00AE49C1"/>
    <w:rsid w:val="00AE4B48"/>
    <w:rsid w:val="00AE4C0A"/>
    <w:rsid w:val="00AE51CB"/>
    <w:rsid w:val="00AE53E7"/>
    <w:rsid w:val="00AE543D"/>
    <w:rsid w:val="00AE56A1"/>
    <w:rsid w:val="00AE586B"/>
    <w:rsid w:val="00AE5CB3"/>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C1A"/>
    <w:rsid w:val="00B14FDF"/>
    <w:rsid w:val="00B15097"/>
    <w:rsid w:val="00B1521D"/>
    <w:rsid w:val="00B15672"/>
    <w:rsid w:val="00B15B29"/>
    <w:rsid w:val="00B15B80"/>
    <w:rsid w:val="00B16993"/>
    <w:rsid w:val="00B17451"/>
    <w:rsid w:val="00B17543"/>
    <w:rsid w:val="00B17D65"/>
    <w:rsid w:val="00B20FA4"/>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6BB"/>
    <w:rsid w:val="00B36CFB"/>
    <w:rsid w:val="00B3705D"/>
    <w:rsid w:val="00B37336"/>
    <w:rsid w:val="00B3750C"/>
    <w:rsid w:val="00B377BB"/>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1E9F"/>
    <w:rsid w:val="00B72202"/>
    <w:rsid w:val="00B731F0"/>
    <w:rsid w:val="00B73629"/>
    <w:rsid w:val="00B736B5"/>
    <w:rsid w:val="00B73AED"/>
    <w:rsid w:val="00B73F2B"/>
    <w:rsid w:val="00B752D2"/>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18B"/>
    <w:rsid w:val="00B9321E"/>
    <w:rsid w:val="00B93401"/>
    <w:rsid w:val="00B94139"/>
    <w:rsid w:val="00B943D9"/>
    <w:rsid w:val="00B9511E"/>
    <w:rsid w:val="00B9583C"/>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D"/>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57A"/>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5DE1"/>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1CA"/>
    <w:rsid w:val="00C00243"/>
    <w:rsid w:val="00C0029D"/>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0C9"/>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0AC"/>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3C6"/>
    <w:rsid w:val="00C404C0"/>
    <w:rsid w:val="00C40682"/>
    <w:rsid w:val="00C410BC"/>
    <w:rsid w:val="00C415D1"/>
    <w:rsid w:val="00C4192A"/>
    <w:rsid w:val="00C41C1F"/>
    <w:rsid w:val="00C41CF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789"/>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90955"/>
    <w:rsid w:val="00C913AC"/>
    <w:rsid w:val="00C918FD"/>
    <w:rsid w:val="00C91FEC"/>
    <w:rsid w:val="00C92255"/>
    <w:rsid w:val="00C922E5"/>
    <w:rsid w:val="00C92653"/>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388A"/>
    <w:rsid w:val="00CA4385"/>
    <w:rsid w:val="00CA43C5"/>
    <w:rsid w:val="00CA43CA"/>
    <w:rsid w:val="00CA4564"/>
    <w:rsid w:val="00CA45B1"/>
    <w:rsid w:val="00CA4883"/>
    <w:rsid w:val="00CA49E0"/>
    <w:rsid w:val="00CA4E1C"/>
    <w:rsid w:val="00CA4FC2"/>
    <w:rsid w:val="00CA531A"/>
    <w:rsid w:val="00CA5398"/>
    <w:rsid w:val="00CA54D4"/>
    <w:rsid w:val="00CA599E"/>
    <w:rsid w:val="00CA5A78"/>
    <w:rsid w:val="00CA5F06"/>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A60"/>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CA"/>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0FE4"/>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5E"/>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61"/>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A46"/>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0C2"/>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15C"/>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19CF"/>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5272"/>
    <w:rsid w:val="00E1606F"/>
    <w:rsid w:val="00E16307"/>
    <w:rsid w:val="00E16382"/>
    <w:rsid w:val="00E16FF8"/>
    <w:rsid w:val="00E17227"/>
    <w:rsid w:val="00E1726B"/>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243"/>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382"/>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127"/>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5D3D"/>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955"/>
    <w:rsid w:val="00ED738E"/>
    <w:rsid w:val="00ED7B6F"/>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5B8"/>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18D"/>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21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6031F"/>
    <w:rsid w:val="00F60493"/>
    <w:rsid w:val="00F60920"/>
    <w:rsid w:val="00F61364"/>
    <w:rsid w:val="00F615BC"/>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AF3"/>
    <w:rsid w:val="00F76BCC"/>
    <w:rsid w:val="00F77167"/>
    <w:rsid w:val="00F776E5"/>
    <w:rsid w:val="00F80204"/>
    <w:rsid w:val="00F80723"/>
    <w:rsid w:val="00F81119"/>
    <w:rsid w:val="00F8141B"/>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F1"/>
    <w:rsid w:val="00FA7BFA"/>
    <w:rsid w:val="00FA7C90"/>
    <w:rsid w:val="00FB00C9"/>
    <w:rsid w:val="00FB03B5"/>
    <w:rsid w:val="00FB0562"/>
    <w:rsid w:val="00FB06E0"/>
    <w:rsid w:val="00FB084B"/>
    <w:rsid w:val="00FB0902"/>
    <w:rsid w:val="00FB0C32"/>
    <w:rsid w:val="00FB0E87"/>
    <w:rsid w:val="00FB0FE4"/>
    <w:rsid w:val="00FB133A"/>
    <w:rsid w:val="00FB1886"/>
    <w:rsid w:val="00FB225F"/>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3C81"/>
    <w:rsid w:val="00FD425B"/>
    <w:rsid w:val="00FD430A"/>
    <w:rsid w:val="00FD4A11"/>
    <w:rsid w:val="00FD4E1E"/>
    <w:rsid w:val="00FD5413"/>
    <w:rsid w:val="00FD5A70"/>
    <w:rsid w:val="00FD5BE3"/>
    <w:rsid w:val="00FD5D01"/>
    <w:rsid w:val="00FD5D3B"/>
    <w:rsid w:val="00FD6141"/>
    <w:rsid w:val="00FD6371"/>
    <w:rsid w:val="00FD6708"/>
    <w:rsid w:val="00FD717E"/>
    <w:rsid w:val="00FD75A5"/>
    <w:rsid w:val="00FE0346"/>
    <w:rsid w:val="00FE038E"/>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133138FD"/>
    <w:rsid w:val="1D4250A2"/>
    <w:rsid w:val="26FA2DB6"/>
    <w:rsid w:val="2A1345F2"/>
    <w:rsid w:val="34B87558"/>
    <w:rsid w:val="38F008C8"/>
    <w:rsid w:val="4D2C03C9"/>
    <w:rsid w:val="51F72F60"/>
    <w:rsid w:val="587C7306"/>
    <w:rsid w:val="60B45399"/>
    <w:rsid w:val="6E2A7B2F"/>
    <w:rsid w:val="72D6166F"/>
    <w:rsid w:val="774E7649"/>
    <w:rsid w:val="7A2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BF379"/>
  <w15:docId w15:val="{243A2EB5-5028-4B14-9DC2-E11410CE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link w:val="BalloonTextChar"/>
    <w:semiHidden/>
    <w:qFormat/>
    <w:rPr>
      <w:sz w:val="18"/>
      <w:szCs w:val="18"/>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5">
    <w:name w:val="15"/>
    <w:basedOn w:val="DefaultParagraphFont"/>
    <w:qFormat/>
    <w:rPr>
      <w:rFonts w:ascii="Times New Roman" w:hAnsi="Times New Roman" w:cs="Times New Roman" w:hint="default"/>
      <w:i/>
      <w:iCs/>
      <w:color w:val="4472C4"/>
    </w:rPr>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Doc-comment">
    <w:name w:val="Doc-comment"/>
    <w:basedOn w:val="Normal"/>
    <w:next w:val="Normal"/>
    <w:rsid w:val="001C5A25"/>
    <w:pPr>
      <w:spacing w:before="100" w:beforeAutospacing="1"/>
      <w:ind w:left="1622" w:hanging="363"/>
    </w:pPr>
    <w:rPr>
      <w:rFonts w:ascii="Arial" w:eastAsia="MS Mincho" w:hAnsi="Arial"/>
      <w:i/>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3087">
      <w:bodyDiv w:val="1"/>
      <w:marLeft w:val="0"/>
      <w:marRight w:val="0"/>
      <w:marTop w:val="0"/>
      <w:marBottom w:val="0"/>
      <w:divBdr>
        <w:top w:val="none" w:sz="0" w:space="0" w:color="auto"/>
        <w:left w:val="none" w:sz="0" w:space="0" w:color="auto"/>
        <w:bottom w:val="none" w:sz="0" w:space="0" w:color="auto"/>
        <w:right w:val="none" w:sz="0" w:space="0" w:color="auto"/>
      </w:divBdr>
    </w:div>
    <w:div w:id="203564382">
      <w:bodyDiv w:val="1"/>
      <w:marLeft w:val="0"/>
      <w:marRight w:val="0"/>
      <w:marTop w:val="0"/>
      <w:marBottom w:val="0"/>
      <w:divBdr>
        <w:top w:val="none" w:sz="0" w:space="0" w:color="auto"/>
        <w:left w:val="none" w:sz="0" w:space="0" w:color="auto"/>
        <w:bottom w:val="none" w:sz="0" w:space="0" w:color="auto"/>
        <w:right w:val="none" w:sz="0" w:space="0" w:color="auto"/>
      </w:divBdr>
    </w:div>
    <w:div w:id="206721577">
      <w:bodyDiv w:val="1"/>
      <w:marLeft w:val="0"/>
      <w:marRight w:val="0"/>
      <w:marTop w:val="0"/>
      <w:marBottom w:val="0"/>
      <w:divBdr>
        <w:top w:val="none" w:sz="0" w:space="0" w:color="auto"/>
        <w:left w:val="none" w:sz="0" w:space="0" w:color="auto"/>
        <w:bottom w:val="none" w:sz="0" w:space="0" w:color="auto"/>
        <w:right w:val="none" w:sz="0" w:space="0" w:color="auto"/>
      </w:divBdr>
    </w:div>
    <w:div w:id="337389285">
      <w:bodyDiv w:val="1"/>
      <w:marLeft w:val="0"/>
      <w:marRight w:val="0"/>
      <w:marTop w:val="0"/>
      <w:marBottom w:val="0"/>
      <w:divBdr>
        <w:top w:val="none" w:sz="0" w:space="0" w:color="auto"/>
        <w:left w:val="none" w:sz="0" w:space="0" w:color="auto"/>
        <w:bottom w:val="none" w:sz="0" w:space="0" w:color="auto"/>
        <w:right w:val="none" w:sz="0" w:space="0" w:color="auto"/>
      </w:divBdr>
    </w:div>
    <w:div w:id="438450473">
      <w:bodyDiv w:val="1"/>
      <w:marLeft w:val="0"/>
      <w:marRight w:val="0"/>
      <w:marTop w:val="0"/>
      <w:marBottom w:val="0"/>
      <w:divBdr>
        <w:top w:val="none" w:sz="0" w:space="0" w:color="auto"/>
        <w:left w:val="none" w:sz="0" w:space="0" w:color="auto"/>
        <w:bottom w:val="none" w:sz="0" w:space="0" w:color="auto"/>
        <w:right w:val="none" w:sz="0" w:space="0" w:color="auto"/>
      </w:divBdr>
    </w:div>
    <w:div w:id="490216415">
      <w:bodyDiv w:val="1"/>
      <w:marLeft w:val="0"/>
      <w:marRight w:val="0"/>
      <w:marTop w:val="0"/>
      <w:marBottom w:val="0"/>
      <w:divBdr>
        <w:top w:val="none" w:sz="0" w:space="0" w:color="auto"/>
        <w:left w:val="none" w:sz="0" w:space="0" w:color="auto"/>
        <w:bottom w:val="none" w:sz="0" w:space="0" w:color="auto"/>
        <w:right w:val="none" w:sz="0" w:space="0" w:color="auto"/>
      </w:divBdr>
    </w:div>
    <w:div w:id="521821081">
      <w:bodyDiv w:val="1"/>
      <w:marLeft w:val="0"/>
      <w:marRight w:val="0"/>
      <w:marTop w:val="0"/>
      <w:marBottom w:val="0"/>
      <w:divBdr>
        <w:top w:val="none" w:sz="0" w:space="0" w:color="auto"/>
        <w:left w:val="none" w:sz="0" w:space="0" w:color="auto"/>
        <w:bottom w:val="none" w:sz="0" w:space="0" w:color="auto"/>
        <w:right w:val="none" w:sz="0" w:space="0" w:color="auto"/>
      </w:divBdr>
    </w:div>
    <w:div w:id="556743807">
      <w:bodyDiv w:val="1"/>
      <w:marLeft w:val="0"/>
      <w:marRight w:val="0"/>
      <w:marTop w:val="0"/>
      <w:marBottom w:val="0"/>
      <w:divBdr>
        <w:top w:val="none" w:sz="0" w:space="0" w:color="auto"/>
        <w:left w:val="none" w:sz="0" w:space="0" w:color="auto"/>
        <w:bottom w:val="none" w:sz="0" w:space="0" w:color="auto"/>
        <w:right w:val="none" w:sz="0" w:space="0" w:color="auto"/>
      </w:divBdr>
    </w:div>
    <w:div w:id="562176989">
      <w:bodyDiv w:val="1"/>
      <w:marLeft w:val="0"/>
      <w:marRight w:val="0"/>
      <w:marTop w:val="0"/>
      <w:marBottom w:val="0"/>
      <w:divBdr>
        <w:top w:val="none" w:sz="0" w:space="0" w:color="auto"/>
        <w:left w:val="none" w:sz="0" w:space="0" w:color="auto"/>
        <w:bottom w:val="none" w:sz="0" w:space="0" w:color="auto"/>
        <w:right w:val="none" w:sz="0" w:space="0" w:color="auto"/>
      </w:divBdr>
    </w:div>
    <w:div w:id="595867299">
      <w:bodyDiv w:val="1"/>
      <w:marLeft w:val="0"/>
      <w:marRight w:val="0"/>
      <w:marTop w:val="0"/>
      <w:marBottom w:val="0"/>
      <w:divBdr>
        <w:top w:val="none" w:sz="0" w:space="0" w:color="auto"/>
        <w:left w:val="none" w:sz="0" w:space="0" w:color="auto"/>
        <w:bottom w:val="none" w:sz="0" w:space="0" w:color="auto"/>
        <w:right w:val="none" w:sz="0" w:space="0" w:color="auto"/>
      </w:divBdr>
    </w:div>
    <w:div w:id="613512695">
      <w:bodyDiv w:val="1"/>
      <w:marLeft w:val="0"/>
      <w:marRight w:val="0"/>
      <w:marTop w:val="0"/>
      <w:marBottom w:val="0"/>
      <w:divBdr>
        <w:top w:val="none" w:sz="0" w:space="0" w:color="auto"/>
        <w:left w:val="none" w:sz="0" w:space="0" w:color="auto"/>
        <w:bottom w:val="none" w:sz="0" w:space="0" w:color="auto"/>
        <w:right w:val="none" w:sz="0" w:space="0" w:color="auto"/>
      </w:divBdr>
    </w:div>
    <w:div w:id="670107734">
      <w:bodyDiv w:val="1"/>
      <w:marLeft w:val="0"/>
      <w:marRight w:val="0"/>
      <w:marTop w:val="0"/>
      <w:marBottom w:val="0"/>
      <w:divBdr>
        <w:top w:val="none" w:sz="0" w:space="0" w:color="auto"/>
        <w:left w:val="none" w:sz="0" w:space="0" w:color="auto"/>
        <w:bottom w:val="none" w:sz="0" w:space="0" w:color="auto"/>
        <w:right w:val="none" w:sz="0" w:space="0" w:color="auto"/>
      </w:divBdr>
    </w:div>
    <w:div w:id="749499122">
      <w:bodyDiv w:val="1"/>
      <w:marLeft w:val="0"/>
      <w:marRight w:val="0"/>
      <w:marTop w:val="0"/>
      <w:marBottom w:val="0"/>
      <w:divBdr>
        <w:top w:val="none" w:sz="0" w:space="0" w:color="auto"/>
        <w:left w:val="none" w:sz="0" w:space="0" w:color="auto"/>
        <w:bottom w:val="none" w:sz="0" w:space="0" w:color="auto"/>
        <w:right w:val="none" w:sz="0" w:space="0" w:color="auto"/>
      </w:divBdr>
    </w:div>
    <w:div w:id="796678388">
      <w:bodyDiv w:val="1"/>
      <w:marLeft w:val="0"/>
      <w:marRight w:val="0"/>
      <w:marTop w:val="0"/>
      <w:marBottom w:val="0"/>
      <w:divBdr>
        <w:top w:val="none" w:sz="0" w:space="0" w:color="auto"/>
        <w:left w:val="none" w:sz="0" w:space="0" w:color="auto"/>
        <w:bottom w:val="none" w:sz="0" w:space="0" w:color="auto"/>
        <w:right w:val="none" w:sz="0" w:space="0" w:color="auto"/>
      </w:divBdr>
    </w:div>
    <w:div w:id="956177411">
      <w:bodyDiv w:val="1"/>
      <w:marLeft w:val="0"/>
      <w:marRight w:val="0"/>
      <w:marTop w:val="0"/>
      <w:marBottom w:val="0"/>
      <w:divBdr>
        <w:top w:val="none" w:sz="0" w:space="0" w:color="auto"/>
        <w:left w:val="none" w:sz="0" w:space="0" w:color="auto"/>
        <w:bottom w:val="none" w:sz="0" w:space="0" w:color="auto"/>
        <w:right w:val="none" w:sz="0" w:space="0" w:color="auto"/>
      </w:divBdr>
    </w:div>
    <w:div w:id="1484273641">
      <w:bodyDiv w:val="1"/>
      <w:marLeft w:val="0"/>
      <w:marRight w:val="0"/>
      <w:marTop w:val="0"/>
      <w:marBottom w:val="0"/>
      <w:divBdr>
        <w:top w:val="none" w:sz="0" w:space="0" w:color="auto"/>
        <w:left w:val="none" w:sz="0" w:space="0" w:color="auto"/>
        <w:bottom w:val="none" w:sz="0" w:space="0" w:color="auto"/>
        <w:right w:val="none" w:sz="0" w:space="0" w:color="auto"/>
      </w:divBdr>
    </w:div>
    <w:div w:id="1494566786">
      <w:bodyDiv w:val="1"/>
      <w:marLeft w:val="0"/>
      <w:marRight w:val="0"/>
      <w:marTop w:val="0"/>
      <w:marBottom w:val="0"/>
      <w:divBdr>
        <w:top w:val="none" w:sz="0" w:space="0" w:color="auto"/>
        <w:left w:val="none" w:sz="0" w:space="0" w:color="auto"/>
        <w:bottom w:val="none" w:sz="0" w:space="0" w:color="auto"/>
        <w:right w:val="none" w:sz="0" w:space="0" w:color="auto"/>
      </w:divBdr>
    </w:div>
    <w:div w:id="1600485281">
      <w:bodyDiv w:val="1"/>
      <w:marLeft w:val="0"/>
      <w:marRight w:val="0"/>
      <w:marTop w:val="0"/>
      <w:marBottom w:val="0"/>
      <w:divBdr>
        <w:top w:val="none" w:sz="0" w:space="0" w:color="auto"/>
        <w:left w:val="none" w:sz="0" w:space="0" w:color="auto"/>
        <w:bottom w:val="none" w:sz="0" w:space="0" w:color="auto"/>
        <w:right w:val="none" w:sz="0" w:space="0" w:color="auto"/>
      </w:divBdr>
    </w:div>
    <w:div w:id="1663001467">
      <w:bodyDiv w:val="1"/>
      <w:marLeft w:val="0"/>
      <w:marRight w:val="0"/>
      <w:marTop w:val="0"/>
      <w:marBottom w:val="0"/>
      <w:divBdr>
        <w:top w:val="none" w:sz="0" w:space="0" w:color="auto"/>
        <w:left w:val="none" w:sz="0" w:space="0" w:color="auto"/>
        <w:bottom w:val="none" w:sz="0" w:space="0" w:color="auto"/>
        <w:right w:val="none" w:sz="0" w:space="0" w:color="auto"/>
      </w:divBdr>
    </w:div>
    <w:div w:id="1874615774">
      <w:bodyDiv w:val="1"/>
      <w:marLeft w:val="0"/>
      <w:marRight w:val="0"/>
      <w:marTop w:val="0"/>
      <w:marBottom w:val="0"/>
      <w:divBdr>
        <w:top w:val="none" w:sz="0" w:space="0" w:color="auto"/>
        <w:left w:val="none" w:sz="0" w:space="0" w:color="auto"/>
        <w:bottom w:val="none" w:sz="0" w:space="0" w:color="auto"/>
        <w:right w:val="none" w:sz="0" w:space="0" w:color="auto"/>
      </w:divBdr>
    </w:div>
    <w:div w:id="1892957352">
      <w:bodyDiv w:val="1"/>
      <w:marLeft w:val="0"/>
      <w:marRight w:val="0"/>
      <w:marTop w:val="0"/>
      <w:marBottom w:val="0"/>
      <w:divBdr>
        <w:top w:val="none" w:sz="0" w:space="0" w:color="auto"/>
        <w:left w:val="none" w:sz="0" w:space="0" w:color="auto"/>
        <w:bottom w:val="none" w:sz="0" w:space="0" w:color="auto"/>
        <w:right w:val="none" w:sz="0" w:space="0" w:color="auto"/>
      </w:divBdr>
    </w:div>
    <w:div w:id="1921790297">
      <w:bodyDiv w:val="1"/>
      <w:marLeft w:val="0"/>
      <w:marRight w:val="0"/>
      <w:marTop w:val="0"/>
      <w:marBottom w:val="0"/>
      <w:divBdr>
        <w:top w:val="none" w:sz="0" w:space="0" w:color="auto"/>
        <w:left w:val="none" w:sz="0" w:space="0" w:color="auto"/>
        <w:bottom w:val="none" w:sz="0" w:space="0" w:color="auto"/>
        <w:right w:val="none" w:sz="0" w:space="0" w:color="auto"/>
      </w:divBdr>
    </w:div>
    <w:div w:id="2056197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AEC47-00E2-4453-8721-ABA4F6DAE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215</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70</cp:revision>
  <cp:lastPrinted>2022-08-02T01:28:00Z</cp:lastPrinted>
  <dcterms:created xsi:type="dcterms:W3CDTF">2022-08-10T05:21:00Z</dcterms:created>
  <dcterms:modified xsi:type="dcterms:W3CDTF">2023-02-16T23:31:00Z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2AAE4669304847D4A4A5A89DB227D55F</vt:lpwstr>
  </property>
</Properties>
</file>